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sz w:val="30"/>
          <w:szCs w:val="30"/>
        </w:rPr>
      </w:pPr>
      <w:r>
        <w:rPr>
          <w:rFonts w:hint="eastAsia" w:ascii="宋体" w:hAnsi="宋体" w:eastAsia="宋体" w:cs="Arial"/>
          <w:sz w:val="30"/>
          <w:szCs w:val="30"/>
          <w:lang w:eastAsia="zh-CN"/>
        </w:rPr>
        <w:t>S207秀洲至仙居公路茜柳路至南北湖互通段改建工程（茜柳路至盐于公路段）桩基检测ZJJC02标段试验检测</w:t>
      </w:r>
      <w:r>
        <w:rPr>
          <w:rFonts w:hint="eastAsia" w:ascii="宋体" w:hAnsi="宋体" w:eastAsia="宋体" w:cs="Arial"/>
          <w:sz w:val="30"/>
          <w:szCs w:val="30"/>
        </w:rPr>
        <w:t>中标人</w:t>
      </w:r>
      <w:r>
        <w:rPr>
          <w:rFonts w:ascii="宋体" w:hAnsi="宋体" w:eastAsia="宋体" w:cs="Arial"/>
          <w:sz w:val="30"/>
          <w:szCs w:val="30"/>
        </w:rPr>
        <w:t>公示</w:t>
      </w:r>
    </w:p>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549" w:type="dxa"/>
            <w:vAlign w:val="center"/>
          </w:tcPr>
          <w:p>
            <w:pPr>
              <w:spacing w:line="360" w:lineRule="auto"/>
              <w:jc w:val="center"/>
              <w:rPr>
                <w:rFonts w:hint="eastAsia" w:ascii="宋体" w:hAnsi="宋体" w:eastAsia="宋体" w:cs="Arial"/>
                <w:szCs w:val="21"/>
                <w:lang w:eastAsia="zh-CN"/>
              </w:rPr>
            </w:pPr>
            <w:r>
              <w:rPr>
                <w:rFonts w:hint="eastAsia" w:ascii="宋体" w:hAnsi="宋体" w:eastAsia="宋体" w:cs="Arial"/>
                <w:szCs w:val="21"/>
                <w:lang w:eastAsia="zh-CN"/>
              </w:rPr>
              <w:t>S207秀洲至仙居公路茜柳路至南北湖互通段改建工程（茜柳路至盐于公路段）桩基检测ZJJC02标段试验检测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549" w:type="dxa"/>
            <w:vAlign w:val="center"/>
          </w:tcPr>
          <w:p>
            <w:pPr>
              <w:spacing w:line="360" w:lineRule="auto"/>
              <w:jc w:val="center"/>
              <w:rPr>
                <w:rFonts w:hint="eastAsia" w:ascii="宋体" w:hAnsi="宋体" w:eastAsia="宋体"/>
                <w:szCs w:val="21"/>
                <w:lang w:eastAsia="zh-CN"/>
              </w:rPr>
            </w:pPr>
            <w:r>
              <w:rPr>
                <w:rFonts w:hint="eastAsia" w:ascii="宋体" w:hAnsi="宋体" w:eastAsia="宋体" w:cs="Arial"/>
                <w:szCs w:val="21"/>
                <w:lang w:eastAsia="zh-CN"/>
              </w:rPr>
              <w:t>嘉兴交通建设开发有限责任公司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4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项目概况:项目路线全长约 18.75 公里。根据建设内容分为三段：（一）茜柳路至南湖海盐交界段长 4.15 公里，新建主线高架桥 2844.53 米/2 座，分离式立交桥 1245.36 米/2 座，匝道桥 781米/2 座，改造利用地面桥梁 258.16 米/4 座；设互通式立交 1 处。（二）南湖海盐交界至盐于公路段长 10.99 公里，新建匝道桥 1954.04 米/7 座，改造利用地面桥梁 445.48 米/12 座，新建地面桥梁 31.04 米/1 座；设互通式立交 2 处。（三）盐于公路至南北湖互通段长 3.61 公里，利用大桥 549米/1 座，新建跨线桥 479 米/1 座，新建通道桥 33 米/1 座，拼宽利用桥梁 133.82 米/3 座，拆除重建桥梁 50 米/2 座；设互通式立交 1 处。</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技术标准:采用《公路工程技术标准》（JTGB01-2014）中一级公路技术标准，兼顾城市道路功能。主线设计速度 100 公里/小时，双向六车道，桥梁宽度 27 米；地面道路设计速度 80 公里/小时，双向六车道，路基宽度 37 米；互通匝道设计速度 40 公里/小时。</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lang w:val="en-US" w:eastAsia="zh-CN"/>
              </w:rPr>
            </w:pPr>
            <w:r>
              <w:rPr>
                <w:rFonts w:hint="eastAsia" w:ascii="宋体" w:hAnsi="宋体" w:eastAsia="宋体" w:cs="Arial"/>
                <w:szCs w:val="21"/>
              </w:rPr>
              <w:t>本次招标</w:t>
            </w:r>
            <w:r>
              <w:rPr>
                <w:rFonts w:hint="eastAsia" w:ascii="宋体" w:hAnsi="宋体" w:eastAsia="宋体" w:cs="Arial"/>
                <w:szCs w:val="21"/>
                <w:lang w:val="en-US" w:eastAsia="zh-CN"/>
              </w:rPr>
              <w:t>范围内项目概况：</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hAnsi="宋体" w:eastAsia="宋体" w:cs="Arial"/>
                <w:szCs w:val="21"/>
              </w:rPr>
            </w:pPr>
            <w:r>
              <w:rPr>
                <w:rFonts w:hint="eastAsia" w:ascii="宋体" w:hAnsi="宋体" w:eastAsia="宋体" w:cs="Arial"/>
                <w:szCs w:val="21"/>
              </w:rPr>
              <w:t>南湖海盐交界至盐于公路段（K11+517.035～K22+512.7）位于海盐县，沿原有嘉南公路布线，起点位于海盐县与南湖区交界处，终点位于盐于公路与本项目交叉口南侧。本段主要实施内容为：地面道路及互通匝道，路线总长10.996km，新建匝道桥 1954.04 米/7 座，改造利用地面桥梁 445.48 米/12 座，新建地面桥梁 31.04 米/1 座；设互通式立交 2 处。茜柳路至盐于公路段：茜柳路至乍嘉苏高速公路采用“利用老路+两侧新建桥梁并连接地面道路”的建设形式。建安造价约5.154亿元</w:t>
            </w:r>
            <w:r>
              <w:rPr>
                <w:rFonts w:hint="eastAsia" w:ascii="宋体" w:hAnsi="宋体" w:eastAsia="宋体" w:cs="Arial"/>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549" w:type="dxa"/>
            <w:vAlign w:val="center"/>
          </w:tcPr>
          <w:p>
            <w:pPr>
              <w:widowControl/>
              <w:spacing w:line="240" w:lineRule="exact"/>
              <w:jc w:val="center"/>
              <w:rPr>
                <w:rFonts w:ascii="宋体" w:hAnsi="宋体" w:eastAsia="宋体"/>
                <w:szCs w:val="21"/>
              </w:rPr>
            </w:pPr>
            <w:r>
              <w:rPr>
                <w:rFonts w:hint="eastAsia" w:ascii="宋体" w:hAnsi="宋体" w:eastAsia="宋体"/>
                <w:szCs w:val="21"/>
                <w:lang w:val="en-US" w:eastAsia="zh-CN"/>
              </w:rPr>
              <w:t>温州市交通工程试验检测有限公司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549" w:type="dxa"/>
            <w:vAlign w:val="center"/>
          </w:tcPr>
          <w:p>
            <w:pPr>
              <w:spacing w:line="360" w:lineRule="auto"/>
              <w:jc w:val="center"/>
              <w:rPr>
                <w:rFonts w:ascii="宋体" w:hAnsi="宋体" w:eastAsia="宋体"/>
                <w:szCs w:val="21"/>
              </w:rPr>
            </w:pPr>
            <w:r>
              <w:rPr>
                <w:rFonts w:hint="eastAsia" w:ascii="宋体" w:hAnsi="宋体" w:eastAsia="宋体" w:cs="Arial"/>
                <w:szCs w:val="21"/>
                <w:lang w:val="en-US" w:eastAsia="zh-CN"/>
              </w:rPr>
              <w:t>398920</w:t>
            </w:r>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49" w:type="dxa"/>
            <w:vAlign w:val="center"/>
          </w:tcPr>
          <w:p>
            <w:pPr>
              <w:widowControl/>
              <w:spacing w:line="36" w:lineRule="atLeast"/>
              <w:jc w:val="center"/>
              <w:rPr>
                <w:rFonts w:hint="eastAsia" w:ascii="宋体" w:hAnsi="宋体" w:eastAsia="宋体"/>
                <w:szCs w:val="21"/>
              </w:rPr>
            </w:pPr>
            <w:r>
              <w:rPr>
                <w:rFonts w:hint="eastAsia" w:ascii="宋体" w:hAnsi="宋体" w:eastAsia="宋体"/>
                <w:szCs w:val="21"/>
                <w:lang w:val="en-US" w:eastAsia="zh-CN"/>
              </w:rPr>
              <w:t>苏佳轩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49" w:type="dxa"/>
            <w:vAlign w:val="center"/>
          </w:tcPr>
          <w:p>
            <w:pPr>
              <w:widowControl/>
              <w:spacing w:line="276" w:lineRule="auto"/>
              <w:jc w:val="center"/>
              <w:rPr>
                <w:rFonts w:hint="eastAsia" w:ascii="宋体" w:hAnsi="宋体" w:eastAsia="宋体"/>
                <w:szCs w:val="21"/>
              </w:rPr>
            </w:pPr>
            <w:r>
              <w:rPr>
                <w:rFonts w:hint="eastAsia" w:ascii="宋体" w:hAnsi="宋体" w:eastAsia="宋体"/>
                <w:szCs w:val="21"/>
                <w:lang w:val="en-US" w:eastAsia="zh-CN"/>
              </w:rPr>
              <w:t>高级工程师（证书编号：G3300303033）                            公路水运工程试验检测师（桥梁隧道工程）                               （证书编号：31620230601010054581）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763" w:type="dxa"/>
            <w:vAlign w:val="center"/>
          </w:tcPr>
          <w:p>
            <w:pPr>
              <w:spacing w:line="360" w:lineRule="auto"/>
              <w:jc w:val="center"/>
              <w:rPr>
                <w:rFonts w:ascii="宋体" w:hAnsi="宋体" w:eastAsia="宋体"/>
                <w:szCs w:val="21"/>
              </w:rPr>
            </w:pPr>
            <w:r>
              <w:rPr>
                <w:rFonts w:hint="eastAsia" w:ascii="宋体" w:hAnsi="宋体" w:eastAsia="宋体"/>
                <w:szCs w:val="21"/>
                <w:lang w:eastAsia="zh-CN"/>
              </w:rPr>
              <w:t>试验检测服务期</w:t>
            </w:r>
          </w:p>
        </w:tc>
        <w:tc>
          <w:tcPr>
            <w:tcW w:w="6549" w:type="dxa"/>
            <w:vAlign w:val="center"/>
          </w:tcPr>
          <w:p>
            <w:pPr>
              <w:widowControl/>
              <w:spacing w:line="276" w:lineRule="auto"/>
              <w:jc w:val="center"/>
              <w:rPr>
                <w:rFonts w:ascii="宋体" w:hAnsi="宋体" w:eastAsia="宋体"/>
                <w:szCs w:val="21"/>
              </w:rPr>
            </w:pPr>
            <w:r>
              <w:rPr>
                <w:rFonts w:hint="eastAsia" w:ascii="宋体" w:hAnsi="宋体" w:eastAsia="宋体"/>
                <w:szCs w:val="21"/>
              </w:rPr>
              <w:t>合同签订至试验检测服务工作全部完成并获得发包人对试验检测报告的认可</w:t>
            </w:r>
            <w:r>
              <w:rPr>
                <w:rFonts w:hint="eastAsia" w:ascii="宋体" w:hAnsi="宋体" w:eastAsia="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49" w:type="dxa"/>
            <w:vAlign w:val="center"/>
          </w:tcPr>
          <w:p>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具有独立法人资格；具有交通运输部门核发的公路工程桥梁隧道工程专项试验检测等级证书；具有省级市场监督管理部门核发的资质认定证书；</w:t>
            </w:r>
          </w:p>
          <w:p>
            <w:pPr>
              <w:widowControl/>
              <w:spacing w:line="276" w:lineRule="auto"/>
              <w:jc w:val="center"/>
              <w:rPr>
                <w:rFonts w:ascii="宋体" w:hAnsi="宋体" w:eastAsia="宋体"/>
                <w:szCs w:val="21"/>
              </w:rPr>
            </w:pPr>
            <w:r>
              <w:rPr>
                <w:rFonts w:hint="eastAsia" w:ascii="宋体" w:hAnsi="宋体" w:eastAsia="宋体"/>
                <w:szCs w:val="21"/>
                <w:lang w:val="en-US" w:eastAsia="zh-CN"/>
              </w:rPr>
              <w:t>业绩：G322（56省道）文成樟台至龙川段改建工程交、竣工质量评定检测（检测完成时间：2020年8月21日；一级公路；检测内容包含桩基的声波透射检测；技术负责人：苏佳轩）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549" w:type="dxa"/>
            <w:vAlign w:val="center"/>
          </w:tcPr>
          <w:p>
            <w:pPr>
              <w:spacing w:line="360" w:lineRule="auto"/>
              <w:jc w:val="center"/>
              <w:rPr>
                <w:rFonts w:ascii="宋体" w:hAnsi="宋体" w:eastAsia="宋体"/>
                <w:szCs w:val="21"/>
              </w:rPr>
            </w:pPr>
            <w:r>
              <w:rPr>
                <w:rFonts w:hint="eastAsia" w:ascii="宋体" w:hAnsi="宋体" w:eastAsia="宋体"/>
                <w:color w:val="333333"/>
                <w:szCs w:val="21"/>
                <w:highlight w:val="none"/>
                <w:shd w:val="clear" w:color="auto" w:fill="FFFFFF"/>
              </w:rPr>
              <w:t>202</w:t>
            </w:r>
            <w:r>
              <w:rPr>
                <w:rFonts w:hint="eastAsia" w:ascii="宋体" w:hAnsi="宋体" w:eastAsia="宋体"/>
                <w:color w:val="333333"/>
                <w:szCs w:val="21"/>
                <w:highlight w:val="none"/>
                <w:shd w:val="clear" w:color="auto" w:fill="FFFFFF"/>
                <w:lang w:val="en-US" w:eastAsia="zh-CN"/>
              </w:rPr>
              <w:t>4</w:t>
            </w:r>
            <w:r>
              <w:rPr>
                <w:rFonts w:hint="eastAsia" w:ascii="宋体" w:hAnsi="宋体" w:eastAsia="宋体"/>
                <w:color w:val="333333"/>
                <w:szCs w:val="21"/>
                <w:highlight w:val="none"/>
                <w:shd w:val="clear" w:color="auto" w:fill="FFFFFF"/>
              </w:rPr>
              <w:t>年</w:t>
            </w:r>
            <w:r>
              <w:rPr>
                <w:rFonts w:hint="eastAsia" w:ascii="宋体" w:hAnsi="宋体" w:eastAsia="宋体"/>
                <w:color w:val="333333"/>
                <w:szCs w:val="21"/>
                <w:highlight w:val="none"/>
                <w:shd w:val="clear" w:color="auto" w:fill="FFFFFF"/>
                <w:lang w:val="en-US" w:eastAsia="zh-CN"/>
              </w:rPr>
              <w:t>9</w:t>
            </w:r>
            <w:r>
              <w:rPr>
                <w:rFonts w:hint="eastAsia" w:ascii="宋体" w:hAnsi="宋体" w:eastAsia="宋体"/>
                <w:color w:val="333333"/>
                <w:szCs w:val="21"/>
                <w:highlight w:val="none"/>
                <w:shd w:val="clear" w:color="auto" w:fill="FFFFFF"/>
              </w:rPr>
              <w:t>月</w:t>
            </w:r>
            <w:r>
              <w:rPr>
                <w:rFonts w:hint="eastAsia" w:ascii="宋体" w:hAnsi="宋体" w:eastAsia="宋体"/>
                <w:color w:val="333333"/>
                <w:szCs w:val="21"/>
                <w:highlight w:val="none"/>
                <w:shd w:val="clear" w:color="auto" w:fill="FFFFFF"/>
                <w:lang w:val="en-US" w:eastAsia="zh-CN"/>
              </w:rPr>
              <w:t>30</w:t>
            </w:r>
            <w:r>
              <w:rPr>
                <w:rFonts w:hint="eastAsia" w:ascii="宋体" w:hAnsi="宋体" w:eastAsia="宋体"/>
                <w:color w:val="333333"/>
                <w:szCs w:val="21"/>
                <w:highlight w:val="none"/>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549" w:type="dxa"/>
            <w:vAlign w:val="center"/>
          </w:tcPr>
          <w:p>
            <w:pPr>
              <w:spacing w:line="360" w:lineRule="auto"/>
              <w:jc w:val="center"/>
              <w:rPr>
                <w:rFonts w:ascii="宋体" w:hAnsi="宋体" w:eastAsia="宋体"/>
                <w:szCs w:val="21"/>
              </w:rPr>
            </w:pPr>
          </w:p>
        </w:tc>
      </w:tr>
    </w:tbl>
    <w:p>
      <w:pPr>
        <w:rPr>
          <w:rFonts w:ascii="宋体" w:hAnsi="宋体" w:eastAsia="宋体"/>
          <w:szCs w:val="21"/>
        </w:rPr>
      </w:pPr>
      <w:bookmarkStart w:id="0" w:name="_GoBack"/>
      <w:bookmarkEnd w:id="0"/>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1A25EEA"/>
    <w:rsid w:val="046360D0"/>
    <w:rsid w:val="0A953E80"/>
    <w:rsid w:val="0AA042D0"/>
    <w:rsid w:val="13C96FE5"/>
    <w:rsid w:val="175536C5"/>
    <w:rsid w:val="19E87796"/>
    <w:rsid w:val="3DF25C60"/>
    <w:rsid w:val="3EDD48FE"/>
    <w:rsid w:val="449725C4"/>
    <w:rsid w:val="51104778"/>
    <w:rsid w:val="55B36F68"/>
    <w:rsid w:val="57163441"/>
    <w:rsid w:val="65844AAE"/>
    <w:rsid w:val="66EA03E5"/>
    <w:rsid w:val="69830759"/>
    <w:rsid w:val="6EF54288"/>
    <w:rsid w:val="71745880"/>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before="156" w:beforeLines="50"/>
      <w:ind w:firstLine="420" w:firstLineChars="200"/>
    </w:pPr>
    <w:rPr>
      <w:rFonts w:ascii="宋体" w:hAnsi="宋体"/>
      <w:spacing w:val="-6"/>
    </w:rPr>
  </w:style>
  <w:style w:type="paragraph" w:styleId="3">
    <w:name w:val="envelope return"/>
    <w:basedOn w:val="1"/>
    <w:qFormat/>
    <w:uiPriority w:val="0"/>
    <w:pPr>
      <w:snapToGrid w:val="0"/>
    </w:pPr>
    <w:rPr>
      <w:rFonts w:ascii="Arial" w:hAnsi="Arial"/>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qFormat/>
    <w:uiPriority w:val="0"/>
    <w:pPr>
      <w:spacing w:after="120"/>
      <w:ind w:left="420" w:leftChars="200"/>
    </w:pPr>
    <w:rPr>
      <w:rFonts w:ascii="Times New Roman" w:hAnsi="Times New Roman"/>
      <w:spacing w:val="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966</Words>
  <Characters>1164</Characters>
  <Lines>5</Lines>
  <Paragraphs>1</Paragraphs>
  <TotalTime>0</TotalTime>
  <ScaleCrop>false</ScaleCrop>
  <LinksUpToDate>false</LinksUpToDate>
  <CharactersWithSpaces>1293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冯晓燕(fengxy)</cp:lastModifiedBy>
  <cp:lastPrinted>2022-11-17T02:31:00Z</cp:lastPrinted>
  <dcterms:modified xsi:type="dcterms:W3CDTF">2024-09-30T01:39:07Z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1E599CBE4BFC4A74B751FDFB66BB1B8F</vt:lpwstr>
  </property>
</Properties>
</file>