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ascii="宋体" w:hAnsi="宋体" w:eastAsia="宋体" w:cs="Arial"/>
          <w:sz w:val="30"/>
          <w:szCs w:val="30"/>
        </w:rPr>
      </w:pPr>
      <w:r>
        <w:rPr>
          <w:rFonts w:hint="eastAsia" w:ascii="宋体" w:hAnsi="宋体" w:eastAsia="宋体" w:cs="Arial"/>
          <w:sz w:val="30"/>
          <w:szCs w:val="30"/>
          <w:lang w:eastAsia="zh-CN"/>
        </w:rPr>
        <w:t>S207秀洲至仙居公路茜柳路至南北湖互通段改建工程（茜柳路至盐于公路段）第TJ01标段保险服务</w:t>
      </w:r>
      <w:r>
        <w:rPr>
          <w:rFonts w:hint="eastAsia" w:ascii="宋体" w:hAnsi="宋体" w:eastAsia="宋体" w:cs="Arial"/>
          <w:sz w:val="30"/>
          <w:szCs w:val="30"/>
        </w:rPr>
        <w:t>中标人</w:t>
      </w:r>
      <w:r>
        <w:rPr>
          <w:rFonts w:ascii="宋体" w:hAnsi="宋体" w:eastAsia="宋体" w:cs="Arial"/>
          <w:sz w:val="30"/>
          <w:szCs w:val="30"/>
        </w:rPr>
        <w:t>公示</w:t>
      </w:r>
    </w:p>
    <w:tbl>
      <w:tblPr>
        <w:tblStyle w:val="11"/>
        <w:tblW w:w="8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1"/>
        <w:gridCol w:w="6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961" w:type="dxa"/>
            <w:vAlign w:val="center"/>
          </w:tcPr>
          <w:p>
            <w:pPr>
              <w:spacing w:line="360" w:lineRule="auto"/>
              <w:jc w:val="center"/>
              <w:rPr>
                <w:rFonts w:ascii="宋体" w:hAnsi="宋体" w:eastAsia="宋体"/>
                <w:szCs w:val="21"/>
              </w:rPr>
            </w:pPr>
            <w:r>
              <w:rPr>
                <w:rFonts w:ascii="宋体" w:hAnsi="宋体" w:eastAsia="宋体" w:cs="Arial"/>
                <w:szCs w:val="21"/>
              </w:rPr>
              <w:t>工程名称</w:t>
            </w:r>
          </w:p>
        </w:tc>
        <w:tc>
          <w:tcPr>
            <w:tcW w:w="6351" w:type="dxa"/>
            <w:vAlign w:val="center"/>
          </w:tcPr>
          <w:p>
            <w:pPr>
              <w:snapToGrid w:val="0"/>
              <w:spacing w:line="240" w:lineRule="auto"/>
              <w:jc w:val="center"/>
              <w:rPr>
                <w:rFonts w:hint="eastAsia" w:ascii="宋体" w:hAnsi="宋体" w:eastAsia="宋体" w:cs="Arial"/>
                <w:szCs w:val="21"/>
                <w:lang w:eastAsia="zh-CN"/>
              </w:rPr>
            </w:pPr>
            <w:r>
              <w:rPr>
                <w:rFonts w:hint="eastAsia" w:ascii="宋体" w:hAnsi="宋体" w:eastAsia="宋体" w:cs="Arial"/>
                <w:szCs w:val="21"/>
                <w:lang w:eastAsia="zh-CN"/>
              </w:rPr>
              <w:t>S207秀洲至仙居公路茜柳路至南北湖互通段改建工程（茜柳路至盐于公路段）第TJ01标段保险服务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961" w:type="dxa"/>
            <w:vAlign w:val="center"/>
          </w:tcPr>
          <w:p>
            <w:pPr>
              <w:spacing w:line="360" w:lineRule="auto"/>
              <w:jc w:val="center"/>
              <w:rPr>
                <w:rFonts w:ascii="宋体" w:hAnsi="宋体" w:eastAsia="宋体"/>
                <w:szCs w:val="21"/>
              </w:rPr>
            </w:pPr>
            <w:r>
              <w:rPr>
                <w:rFonts w:ascii="宋体" w:hAnsi="宋体" w:eastAsia="宋体" w:cs="Arial"/>
                <w:szCs w:val="21"/>
              </w:rPr>
              <w:t>招标人</w:t>
            </w:r>
          </w:p>
        </w:tc>
        <w:tc>
          <w:tcPr>
            <w:tcW w:w="6351" w:type="dxa"/>
            <w:vAlign w:val="center"/>
          </w:tcPr>
          <w:p>
            <w:pPr>
              <w:spacing w:line="360" w:lineRule="auto"/>
              <w:jc w:val="center"/>
              <w:rPr>
                <w:rFonts w:ascii="宋体" w:hAnsi="宋体" w:eastAsia="宋体"/>
                <w:szCs w:val="21"/>
              </w:rPr>
            </w:pPr>
            <w:r>
              <w:rPr>
                <w:rFonts w:hint="eastAsia" w:ascii="宋体" w:hAnsi="宋体" w:eastAsia="宋体"/>
                <w:szCs w:val="21"/>
                <w:lang w:eastAsia="zh-CN"/>
              </w:rPr>
              <w:t>嘉兴交通建设开发有限责任公司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961" w:type="dxa"/>
            <w:vAlign w:val="center"/>
          </w:tcPr>
          <w:p>
            <w:pPr>
              <w:spacing w:line="360" w:lineRule="auto"/>
              <w:jc w:val="center"/>
              <w:rPr>
                <w:rFonts w:ascii="宋体" w:hAnsi="宋体" w:eastAsia="宋体" w:cs="Arial"/>
                <w:szCs w:val="21"/>
              </w:rPr>
            </w:pPr>
            <w:r>
              <w:rPr>
                <w:rFonts w:hint="eastAsia" w:ascii="宋体" w:hAnsi="宋体" w:eastAsia="宋体" w:cs="Arial"/>
                <w:szCs w:val="21"/>
              </w:rPr>
              <w:t>工程规模</w:t>
            </w:r>
          </w:p>
        </w:tc>
        <w:tc>
          <w:tcPr>
            <w:tcW w:w="6351"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Arial"/>
                <w:szCs w:val="21"/>
                <w:lang w:eastAsia="zh-CN"/>
              </w:rPr>
            </w:pPr>
            <w:r>
              <w:rPr>
                <w:rFonts w:hint="eastAsia" w:ascii="宋体" w:hAnsi="宋体" w:eastAsia="宋体" w:cs="Arial"/>
                <w:szCs w:val="21"/>
                <w:lang w:eastAsia="zh-CN"/>
              </w:rPr>
              <w:t>项目路线全长约 18.75 公里。根据建设内容分为三段：（一）茜柳路至南湖海盐交界段长 4.15 公里，新建主线高架桥 2844.53 米/2 座，分离式立交桥 1245.36 米/2 座，匝道桥 781米/2 座，改造利用地面桥梁 258.16 米/4 座；设互通式立交 1 处。（二）南湖海盐交界至盐于公路段长 10.99 公里，新建匝道桥 1954.04 米/7 座，改造利用地面桥梁 445.48 米/12 座，新建地面桥梁 31.04 米/1 座；设互通式立交 2 处。（三）盐于公路至南北湖互通段长 3.61 公里，利用大桥 549米/1 座，新建跨线桥 479 米/1 座，新建通道桥 33 米/1 座，拼宽利用桥梁 133.82 米/3 座，拆除重建桥梁 50 米/2 座；设互通式立交 1 处。</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left"/>
              <w:textAlignment w:val="auto"/>
              <w:rPr>
                <w:rFonts w:ascii="宋体" w:hAnsi="宋体" w:eastAsia="宋体" w:cs="Arial"/>
                <w:szCs w:val="21"/>
              </w:rPr>
            </w:pPr>
            <w:r>
              <w:rPr>
                <w:rFonts w:hint="eastAsia" w:ascii="宋体" w:hAnsi="宋体" w:eastAsia="宋体" w:cs="Arial"/>
                <w:szCs w:val="21"/>
                <w:lang w:val="en-US" w:eastAsia="zh-CN"/>
              </w:rPr>
              <w:t>第TJ01标段项目概况：茜柳路至南湖海盐交界段（K7+370～K11+517.035）位于南湖区，沿原有嘉南公路布线，起点位于茜柳路与本项目平面交叉处，终点位于南湖区与海盐县交界处。本段主要实施内容为主线高架桥、地面道路及互通匝道，</w:t>
            </w:r>
            <w:r>
              <w:rPr>
                <w:rFonts w:hint="eastAsia" w:ascii="宋体" w:hAnsi="宋体" w:eastAsia="宋体" w:cs="Arial"/>
                <w:szCs w:val="21"/>
                <w:lang w:eastAsia="zh-CN"/>
              </w:rPr>
              <w:t>茜柳路至南湖海盐交界段长 4.15 公里，新建主线高架桥 2844.53 米/2 座，分离式立交桥 1245.36 米/2 座，匝道桥 781米/2 座，改造利用地面桥梁 258.16 米/4 座；设互通式立交 1 处。上跨运营乍嘉苏高速公路，高架+地面道路建设形式，主线高架桥、匝道桥：上部结构采用25m、30m小箱梁及40、50、60米钢混组合梁，下部采用柱式墩及Y型墩柱，基础采用桩基础。跨乍嘉苏高速左右辅道桥：上部结构主要采用25m、30m小箱梁及跨径80米钢桁架梁,下部采用柱式墩及墙式柱，基础采用桩基础。辅道、地面桥梁：上部结构采用空心板，下部采用柱式墩、基础采用桩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61" w:type="dxa"/>
            <w:vAlign w:val="center"/>
          </w:tcPr>
          <w:p>
            <w:pPr>
              <w:spacing w:line="360" w:lineRule="auto"/>
              <w:jc w:val="center"/>
              <w:rPr>
                <w:rFonts w:ascii="宋体" w:hAnsi="宋体" w:eastAsia="宋体"/>
                <w:szCs w:val="21"/>
              </w:rPr>
            </w:pPr>
            <w:r>
              <w:rPr>
                <w:rFonts w:ascii="宋体" w:hAnsi="宋体" w:eastAsia="宋体" w:cs="Arial"/>
                <w:szCs w:val="21"/>
              </w:rPr>
              <w:t>中标单位</w:t>
            </w:r>
          </w:p>
        </w:tc>
        <w:tc>
          <w:tcPr>
            <w:tcW w:w="6351" w:type="dxa"/>
            <w:vAlign w:val="center"/>
          </w:tcPr>
          <w:p>
            <w:pPr>
              <w:widowControl/>
              <w:spacing w:line="240" w:lineRule="exact"/>
              <w:jc w:val="center"/>
              <w:rPr>
                <w:rFonts w:ascii="宋体" w:hAnsi="宋体" w:eastAsia="宋体"/>
                <w:szCs w:val="21"/>
              </w:rPr>
            </w:pPr>
            <w:r>
              <w:rPr>
                <w:rFonts w:hint="default" w:ascii="宋体" w:hAnsi="宋体" w:eastAsia="宋体"/>
                <w:szCs w:val="21"/>
                <w:lang w:val="en-US" w:eastAsia="zh-CN"/>
              </w:rPr>
              <w:t>中国人民财产保险股份有限公司嘉兴市分公司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61" w:type="dxa"/>
            <w:vAlign w:val="center"/>
          </w:tcPr>
          <w:p>
            <w:pPr>
              <w:spacing w:line="360" w:lineRule="auto"/>
              <w:jc w:val="center"/>
              <w:rPr>
                <w:rFonts w:ascii="宋体" w:hAnsi="宋体" w:eastAsia="宋体"/>
                <w:szCs w:val="21"/>
              </w:rPr>
            </w:pPr>
            <w:r>
              <w:rPr>
                <w:rFonts w:ascii="宋体" w:hAnsi="宋体" w:eastAsia="宋体" w:cs="Arial"/>
                <w:szCs w:val="21"/>
              </w:rPr>
              <w:t>中标价格</w:t>
            </w:r>
          </w:p>
        </w:tc>
        <w:tc>
          <w:tcPr>
            <w:tcW w:w="6351" w:type="dxa"/>
            <w:vAlign w:val="center"/>
          </w:tcPr>
          <w:p>
            <w:pPr>
              <w:spacing w:line="360" w:lineRule="auto"/>
              <w:jc w:val="center"/>
              <w:rPr>
                <w:rFonts w:ascii="宋体" w:hAnsi="宋体" w:eastAsia="宋体"/>
                <w:szCs w:val="21"/>
              </w:rPr>
            </w:pPr>
            <w:r>
              <w:rPr>
                <w:rFonts w:hint="eastAsia" w:ascii="宋体" w:hAnsi="宋体" w:eastAsia="宋体" w:cs="Arial"/>
                <w:szCs w:val="21"/>
              </w:rPr>
              <w:t>2807303</w:t>
            </w:r>
            <w:r>
              <w:rPr>
                <w:rFonts w:ascii="宋体" w:hAnsi="宋体" w:eastAsia="宋体" w:cs="Arial"/>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61" w:type="dxa"/>
            <w:vAlign w:val="center"/>
          </w:tcPr>
          <w:p>
            <w:pPr>
              <w:spacing w:line="360" w:lineRule="auto"/>
              <w:jc w:val="center"/>
              <w:rPr>
                <w:rFonts w:ascii="宋体" w:hAnsi="宋体" w:eastAsia="宋体" w:cs="Arial"/>
                <w:szCs w:val="21"/>
              </w:rPr>
            </w:pPr>
            <w:r>
              <w:rPr>
                <w:rFonts w:hint="eastAsia" w:ascii="宋体" w:hAnsi="宋体" w:eastAsia="宋体" w:cs="Arial"/>
                <w:szCs w:val="21"/>
              </w:rPr>
              <w:t>项目负责人</w:t>
            </w:r>
          </w:p>
        </w:tc>
        <w:tc>
          <w:tcPr>
            <w:tcW w:w="6351" w:type="dxa"/>
            <w:vAlign w:val="center"/>
          </w:tcPr>
          <w:p>
            <w:pPr>
              <w:widowControl/>
              <w:spacing w:line="36" w:lineRule="atLeast"/>
              <w:jc w:val="center"/>
              <w:rPr>
                <w:rFonts w:hint="eastAsia" w:ascii="宋体" w:hAnsi="宋体" w:eastAsia="宋体"/>
                <w:szCs w:val="21"/>
              </w:rPr>
            </w:pPr>
            <w:r>
              <w:rPr>
                <w:rFonts w:hint="default" w:ascii="宋体" w:hAnsi="宋体" w:eastAsia="宋体" w:cs="宋体"/>
                <w:color w:val="333333"/>
                <w:highlight w:val="none"/>
                <w:lang w:val="en-US" w:eastAsia="zh-CN"/>
              </w:rPr>
              <w:t>刘雁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961" w:type="dxa"/>
            <w:vAlign w:val="center"/>
          </w:tcPr>
          <w:p>
            <w:pPr>
              <w:spacing w:line="360" w:lineRule="auto"/>
              <w:jc w:val="center"/>
              <w:rPr>
                <w:rFonts w:ascii="宋体" w:hAnsi="宋体" w:eastAsia="宋体" w:cs="Arial"/>
                <w:szCs w:val="21"/>
              </w:rPr>
            </w:pPr>
            <w:r>
              <w:rPr>
                <w:rFonts w:hint="eastAsia" w:ascii="宋体" w:hAnsi="宋体" w:eastAsia="宋体" w:cs="Arial"/>
                <w:szCs w:val="21"/>
              </w:rPr>
              <w:t>项目经理（负责人）资质证书及编号</w:t>
            </w:r>
          </w:p>
        </w:tc>
        <w:tc>
          <w:tcPr>
            <w:tcW w:w="6351" w:type="dxa"/>
            <w:vAlign w:val="center"/>
          </w:tcPr>
          <w:p>
            <w:pPr>
              <w:widowControl/>
              <w:spacing w:line="276" w:lineRule="auto"/>
              <w:jc w:val="center"/>
              <w:rPr>
                <w:rFonts w:hint="eastAsia" w:ascii="宋体" w:hAnsi="宋体" w:eastAsia="宋体"/>
                <w:szCs w:val="21"/>
              </w:rPr>
            </w:pPr>
            <w:r>
              <w:rPr>
                <w:rFonts w:hint="eastAsia" w:ascii="宋体" w:hAnsi="宋体" w:cs="宋体"/>
                <w:color w:val="333333"/>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61" w:type="dxa"/>
            <w:vAlign w:val="center"/>
          </w:tcPr>
          <w:p>
            <w:pPr>
              <w:spacing w:line="360" w:lineRule="auto"/>
              <w:jc w:val="center"/>
              <w:rPr>
                <w:rFonts w:ascii="宋体" w:hAnsi="宋体" w:eastAsia="宋体"/>
                <w:szCs w:val="21"/>
              </w:rPr>
            </w:pPr>
            <w:r>
              <w:rPr>
                <w:rFonts w:hint="eastAsia" w:ascii="宋体" w:hAnsi="宋体" w:eastAsia="宋体"/>
                <w:szCs w:val="21"/>
              </w:rPr>
              <w:t>服务期</w:t>
            </w:r>
          </w:p>
        </w:tc>
        <w:tc>
          <w:tcPr>
            <w:tcW w:w="6351" w:type="dxa"/>
            <w:vAlign w:val="center"/>
          </w:tcPr>
          <w:p>
            <w:pPr>
              <w:widowControl/>
              <w:spacing w:line="276" w:lineRule="auto"/>
              <w:jc w:val="center"/>
              <w:rPr>
                <w:rFonts w:ascii="宋体" w:hAnsi="宋体" w:eastAsia="宋体"/>
                <w:szCs w:val="21"/>
              </w:rPr>
            </w:pPr>
            <w:r>
              <w:rPr>
                <w:rFonts w:hint="eastAsia" w:ascii="宋体" w:hAnsi="宋体" w:eastAsia="宋体"/>
                <w:szCs w:val="21"/>
                <w:lang w:val="en-US" w:eastAsia="zh-CN"/>
              </w:rPr>
              <w:t>不少于52个月。从保险合同签订之日起直至本合同工程签发缺陷责任期满且本保单遗留索赔事件处理完成为止。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961" w:type="dxa"/>
            <w:vAlign w:val="center"/>
          </w:tcPr>
          <w:p>
            <w:pPr>
              <w:spacing w:line="360" w:lineRule="auto"/>
              <w:jc w:val="center"/>
              <w:rPr>
                <w:rFonts w:ascii="宋体" w:hAnsi="宋体" w:eastAsia="宋体"/>
                <w:szCs w:val="21"/>
              </w:rPr>
            </w:pPr>
            <w:r>
              <w:rPr>
                <w:rFonts w:ascii="宋体" w:hAnsi="宋体" w:eastAsia="宋体" w:cs="Arial"/>
                <w:szCs w:val="21"/>
              </w:rPr>
              <w:t>响应招标文件资格能力条件</w:t>
            </w:r>
          </w:p>
        </w:tc>
        <w:tc>
          <w:tcPr>
            <w:tcW w:w="6351" w:type="dxa"/>
            <w:vAlign w:val="center"/>
          </w:tcPr>
          <w:p>
            <w:pPr>
              <w:widowControl/>
              <w:spacing w:line="276" w:lineRule="auto"/>
              <w:jc w:val="center"/>
              <w:rPr>
                <w:rFonts w:hint="default" w:ascii="宋体" w:hAnsi="宋体" w:eastAsia="宋体"/>
                <w:szCs w:val="21"/>
                <w:lang w:val="en-US" w:eastAsia="zh-CN"/>
              </w:rPr>
            </w:pPr>
            <w:r>
              <w:rPr>
                <w:rFonts w:hint="default" w:ascii="宋体" w:hAnsi="宋体" w:eastAsia="宋体"/>
                <w:szCs w:val="21"/>
                <w:lang w:val="en-US" w:eastAsia="zh-CN"/>
              </w:rPr>
              <w:t>具有唯一授权的区域分支机构；具有保险许可证；法人单位注册资本金22242765303元；综合偿付能力充足率：232.38%</w:t>
            </w:r>
          </w:p>
          <w:p>
            <w:pPr>
              <w:widowControl/>
              <w:spacing w:line="276" w:lineRule="auto"/>
              <w:jc w:val="center"/>
              <w:rPr>
                <w:rFonts w:ascii="宋体" w:hAnsi="宋体" w:eastAsia="宋体"/>
                <w:szCs w:val="21"/>
              </w:rPr>
            </w:pPr>
            <w:r>
              <w:rPr>
                <w:rFonts w:hint="default" w:ascii="宋体" w:hAnsi="宋体" w:eastAsia="宋体"/>
                <w:szCs w:val="21"/>
                <w:lang w:val="en-US" w:eastAsia="zh-CN"/>
              </w:rPr>
              <w:t>业绩：平黎公路嘉善段改（扩）建工程（镇北路至芦墟塘大桥东侧段）保险服务（保险金额：468599375元；合同签订时间：2021年2月；项目负责人：刘雁）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1" w:type="dxa"/>
            <w:vAlign w:val="center"/>
          </w:tcPr>
          <w:p>
            <w:pPr>
              <w:spacing w:line="360" w:lineRule="auto"/>
              <w:jc w:val="center"/>
              <w:rPr>
                <w:rFonts w:ascii="宋体" w:hAnsi="宋体" w:eastAsia="宋体"/>
                <w:szCs w:val="21"/>
              </w:rPr>
            </w:pPr>
            <w:r>
              <w:rPr>
                <w:rFonts w:ascii="宋体" w:hAnsi="宋体" w:eastAsia="宋体" w:cs="Arial"/>
                <w:szCs w:val="21"/>
              </w:rPr>
              <w:t>中标日期</w:t>
            </w:r>
          </w:p>
        </w:tc>
        <w:tc>
          <w:tcPr>
            <w:tcW w:w="6351" w:type="dxa"/>
            <w:vAlign w:val="center"/>
          </w:tcPr>
          <w:p>
            <w:pPr>
              <w:spacing w:line="360" w:lineRule="auto"/>
              <w:jc w:val="center"/>
              <w:rPr>
                <w:rFonts w:ascii="宋体" w:hAnsi="宋体" w:eastAsia="宋体"/>
                <w:szCs w:val="21"/>
              </w:rPr>
            </w:pPr>
            <w:r>
              <w:rPr>
                <w:rFonts w:hint="eastAsia" w:ascii="宋体" w:hAnsi="宋体" w:eastAsia="宋体"/>
                <w:color w:val="333333"/>
                <w:szCs w:val="21"/>
                <w:highlight w:val="none"/>
                <w:shd w:val="clear" w:color="auto" w:fill="FFFFFF"/>
              </w:rPr>
              <w:t>202</w:t>
            </w:r>
            <w:r>
              <w:rPr>
                <w:rFonts w:hint="eastAsia" w:ascii="宋体" w:hAnsi="宋体" w:eastAsia="宋体"/>
                <w:color w:val="333333"/>
                <w:szCs w:val="21"/>
                <w:highlight w:val="none"/>
                <w:shd w:val="clear" w:color="auto" w:fill="FFFFFF"/>
                <w:lang w:val="en-US" w:eastAsia="zh-CN"/>
              </w:rPr>
              <w:t>4</w:t>
            </w:r>
            <w:r>
              <w:rPr>
                <w:rFonts w:hint="eastAsia" w:ascii="宋体" w:hAnsi="宋体" w:eastAsia="宋体"/>
                <w:color w:val="333333"/>
                <w:szCs w:val="21"/>
                <w:highlight w:val="none"/>
                <w:shd w:val="clear" w:color="auto" w:fill="FFFFFF"/>
              </w:rPr>
              <w:t>年</w:t>
            </w:r>
            <w:r>
              <w:rPr>
                <w:rFonts w:hint="eastAsia" w:ascii="宋体" w:hAnsi="宋体" w:eastAsia="宋体"/>
                <w:color w:val="333333"/>
                <w:szCs w:val="21"/>
                <w:highlight w:val="none"/>
                <w:shd w:val="clear" w:color="auto" w:fill="FFFFFF"/>
                <w:lang w:val="en-US" w:eastAsia="zh-CN"/>
              </w:rPr>
              <w:t>9</w:t>
            </w:r>
            <w:r>
              <w:rPr>
                <w:rFonts w:hint="eastAsia" w:ascii="宋体" w:hAnsi="宋体" w:eastAsia="宋体"/>
                <w:color w:val="333333"/>
                <w:szCs w:val="21"/>
                <w:highlight w:val="none"/>
                <w:shd w:val="clear" w:color="auto" w:fill="FFFFFF"/>
              </w:rPr>
              <w:t>月</w:t>
            </w:r>
            <w:r>
              <w:rPr>
                <w:rFonts w:hint="eastAsia" w:ascii="宋体" w:hAnsi="宋体" w:eastAsia="宋体"/>
                <w:color w:val="333333"/>
                <w:szCs w:val="21"/>
                <w:highlight w:val="none"/>
                <w:shd w:val="clear" w:color="auto" w:fill="FFFFFF"/>
                <w:lang w:val="en-US" w:eastAsia="zh-CN"/>
              </w:rPr>
              <w:t>25</w:t>
            </w:r>
            <w:r>
              <w:rPr>
                <w:rFonts w:hint="eastAsia" w:ascii="宋体" w:hAnsi="宋体" w:eastAsia="宋体"/>
                <w:color w:val="333333"/>
                <w:szCs w:val="21"/>
                <w:highlight w:val="none"/>
                <w:shd w:val="clear" w:color="auto" w:fill="FFFFFF"/>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961" w:type="dxa"/>
            <w:vAlign w:val="center"/>
          </w:tcPr>
          <w:p>
            <w:pPr>
              <w:spacing w:line="360" w:lineRule="auto"/>
              <w:jc w:val="center"/>
              <w:rPr>
                <w:rFonts w:ascii="宋体" w:hAnsi="宋体" w:eastAsia="宋体"/>
                <w:szCs w:val="21"/>
              </w:rPr>
            </w:pPr>
            <w:r>
              <w:rPr>
                <w:rFonts w:ascii="宋体" w:hAnsi="宋体" w:eastAsia="宋体" w:cs="Arial"/>
                <w:szCs w:val="21"/>
              </w:rPr>
              <w:t>备 注</w:t>
            </w:r>
          </w:p>
        </w:tc>
        <w:tc>
          <w:tcPr>
            <w:tcW w:w="6351" w:type="dxa"/>
            <w:vAlign w:val="center"/>
          </w:tcPr>
          <w:p>
            <w:pPr>
              <w:spacing w:line="360" w:lineRule="auto"/>
              <w:jc w:val="center"/>
              <w:rPr>
                <w:rFonts w:ascii="宋体" w:hAnsi="宋体" w:eastAsia="宋体"/>
                <w:szCs w:val="21"/>
              </w:rPr>
            </w:pPr>
          </w:p>
        </w:tc>
      </w:tr>
    </w:tbl>
    <w:p>
      <w:pPr>
        <w:rPr>
          <w:rFonts w:ascii="宋体" w:hAnsi="宋体" w:eastAsia="宋体"/>
          <w:szCs w:val="21"/>
        </w:rPr>
      </w:pPr>
    </w:p>
    <w:sectPr>
      <w:pgSz w:w="11906" w:h="16838"/>
      <w:pgMar w:top="1418"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1YWNkNzcxOTBjZWY3MTg4NTY3MjlmNTQ0Yzg2OGEifQ=="/>
  </w:docVars>
  <w:rsids>
    <w:rsidRoot w:val="00395D10"/>
    <w:rsid w:val="00016903"/>
    <w:rsid w:val="00040EC2"/>
    <w:rsid w:val="000712C3"/>
    <w:rsid w:val="000A6FE4"/>
    <w:rsid w:val="00105E8C"/>
    <w:rsid w:val="00202455"/>
    <w:rsid w:val="002128FD"/>
    <w:rsid w:val="00233FBF"/>
    <w:rsid w:val="00261AD9"/>
    <w:rsid w:val="002704EE"/>
    <w:rsid w:val="003214EA"/>
    <w:rsid w:val="00395D10"/>
    <w:rsid w:val="003E4C4A"/>
    <w:rsid w:val="00445089"/>
    <w:rsid w:val="00447CD1"/>
    <w:rsid w:val="004B4DDE"/>
    <w:rsid w:val="00574479"/>
    <w:rsid w:val="00582E4B"/>
    <w:rsid w:val="006516F0"/>
    <w:rsid w:val="006A61DD"/>
    <w:rsid w:val="006C2FC8"/>
    <w:rsid w:val="007B0A08"/>
    <w:rsid w:val="0080265E"/>
    <w:rsid w:val="008052B8"/>
    <w:rsid w:val="0083498D"/>
    <w:rsid w:val="009C5968"/>
    <w:rsid w:val="00B00F9D"/>
    <w:rsid w:val="00B62E64"/>
    <w:rsid w:val="00BF149D"/>
    <w:rsid w:val="00C92847"/>
    <w:rsid w:val="00CE728A"/>
    <w:rsid w:val="00DA0805"/>
    <w:rsid w:val="00DA3F6F"/>
    <w:rsid w:val="00DC715F"/>
    <w:rsid w:val="00E33986"/>
    <w:rsid w:val="00EB58EA"/>
    <w:rsid w:val="00F05E2E"/>
    <w:rsid w:val="00F81CB6"/>
    <w:rsid w:val="00FA3264"/>
    <w:rsid w:val="046360D0"/>
    <w:rsid w:val="0A953E80"/>
    <w:rsid w:val="0AA042D0"/>
    <w:rsid w:val="13C96FE5"/>
    <w:rsid w:val="175536C5"/>
    <w:rsid w:val="19E87796"/>
    <w:rsid w:val="1A7D408A"/>
    <w:rsid w:val="3DF25C60"/>
    <w:rsid w:val="3EDD48FE"/>
    <w:rsid w:val="44270A1B"/>
    <w:rsid w:val="449725C4"/>
    <w:rsid w:val="55B36F68"/>
    <w:rsid w:val="57163441"/>
    <w:rsid w:val="61B92415"/>
    <w:rsid w:val="65844AAE"/>
    <w:rsid w:val="66EA03E5"/>
    <w:rsid w:val="6EF54288"/>
    <w:rsid w:val="780207D3"/>
    <w:rsid w:val="79B43035"/>
    <w:rsid w:val="79BC1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szCs w:val="24"/>
    </w:rPr>
  </w:style>
  <w:style w:type="paragraph" w:styleId="3">
    <w:name w:val="Body Text First Indent"/>
    <w:basedOn w:val="2"/>
    <w:next w:val="2"/>
    <w:qFormat/>
    <w:uiPriority w:val="0"/>
    <w:pPr>
      <w:ind w:firstLine="420" w:firstLineChars="100"/>
    </w:pPr>
  </w:style>
  <w:style w:type="paragraph" w:styleId="4">
    <w:name w:val="Body Text Indent"/>
    <w:basedOn w:val="1"/>
    <w:next w:val="5"/>
    <w:qFormat/>
    <w:uiPriority w:val="0"/>
    <w:pPr>
      <w:spacing w:before="156" w:beforeLines="50"/>
      <w:ind w:firstLine="420" w:firstLineChars="200"/>
    </w:pPr>
    <w:rPr>
      <w:rFonts w:ascii="宋体" w:hAnsi="宋体"/>
      <w:spacing w:val="-6"/>
    </w:rPr>
  </w:style>
  <w:style w:type="paragraph" w:styleId="5">
    <w:name w:val="envelope return"/>
    <w:basedOn w:val="1"/>
    <w:qFormat/>
    <w:uiPriority w:val="0"/>
    <w:pPr>
      <w:snapToGrid w:val="0"/>
    </w:pPr>
    <w:rPr>
      <w:rFonts w:ascii="Arial" w:hAnsi="Arial"/>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4"/>
    <w:qFormat/>
    <w:uiPriority w:val="0"/>
    <w:pPr>
      <w:spacing w:after="120"/>
      <w:ind w:left="420" w:leftChars="200"/>
    </w:pPr>
    <w:rPr>
      <w:rFonts w:ascii="Times New Roman" w:hAnsi="Times New Roman"/>
      <w:spacing w:val="0"/>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字符"/>
    <w:basedOn w:val="12"/>
    <w:link w:val="8"/>
    <w:qFormat/>
    <w:uiPriority w:val="99"/>
    <w:rPr>
      <w:sz w:val="18"/>
      <w:szCs w:val="18"/>
    </w:rPr>
  </w:style>
  <w:style w:type="character" w:customStyle="1" w:styleId="14">
    <w:name w:val="页脚 字符"/>
    <w:basedOn w:val="12"/>
    <w:link w:val="7"/>
    <w:qFormat/>
    <w:uiPriority w:val="99"/>
    <w:rPr>
      <w:sz w:val="18"/>
      <w:szCs w:val="18"/>
    </w:rPr>
  </w:style>
  <w:style w:type="character" w:customStyle="1" w:styleId="15">
    <w:name w:val="批注框文本 字符"/>
    <w:basedOn w:val="12"/>
    <w:link w:val="6"/>
    <w:semiHidden/>
    <w:qFormat/>
    <w:uiPriority w:val="99"/>
    <w:rPr>
      <w:kern w:val="2"/>
      <w:sz w:val="18"/>
      <w:szCs w:val="18"/>
    </w:rPr>
  </w:style>
  <w:style w:type="paragraph" w:customStyle="1" w:styleId="16">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995</Words>
  <Characters>1155</Characters>
  <Lines>5</Lines>
  <Paragraphs>1</Paragraphs>
  <TotalTime>16</TotalTime>
  <ScaleCrop>false</ScaleCrop>
  <LinksUpToDate>false</LinksUpToDate>
  <CharactersWithSpaces>1268</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2022-08-05T02:27:00Z</dcterms:created>
  <dc:creator>周 伟</dc:creator>
  <cp:lastModifiedBy>宋思奇(songsq)</cp:lastModifiedBy>
  <cp:lastPrinted>2022-11-17T02:31:00Z</cp:lastPrinted>
  <dcterms:modified xsi:type="dcterms:W3CDTF">2024-09-25T01:26:23Z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1E599CBE4BFC4A74B751FDFB66BB1B8F</vt:lpwstr>
  </property>
</Properties>
</file>