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9E1" w:rsidRPr="00DA29E1" w:rsidRDefault="00DA29E1" w:rsidP="00DA29E1">
      <w:pPr>
        <w:spacing w:line="360" w:lineRule="auto"/>
        <w:jc w:val="center"/>
        <w:rPr>
          <w:b/>
          <w:sz w:val="32"/>
          <w:szCs w:val="32"/>
        </w:rPr>
      </w:pPr>
      <w:r w:rsidRPr="00DA29E1">
        <w:rPr>
          <w:b/>
          <w:sz w:val="32"/>
          <w:szCs w:val="32"/>
        </w:rPr>
        <w:t>202</w:t>
      </w:r>
      <w:r w:rsidRPr="00DA29E1">
        <w:rPr>
          <w:rFonts w:hint="eastAsia"/>
          <w:b/>
          <w:sz w:val="32"/>
          <w:szCs w:val="32"/>
        </w:rPr>
        <w:t>4</w:t>
      </w:r>
      <w:r w:rsidRPr="00DA29E1">
        <w:rPr>
          <w:b/>
          <w:sz w:val="32"/>
          <w:szCs w:val="32"/>
        </w:rPr>
        <w:t>年嘉兴市国鸿公共交通有限公司公交客车采购项目</w:t>
      </w:r>
    </w:p>
    <w:p w:rsidR="00DA29E1" w:rsidRPr="00DA29E1" w:rsidRDefault="00DA29E1" w:rsidP="00DA29E1">
      <w:pPr>
        <w:spacing w:line="360" w:lineRule="auto"/>
        <w:jc w:val="center"/>
        <w:rPr>
          <w:b/>
          <w:sz w:val="32"/>
          <w:szCs w:val="32"/>
        </w:rPr>
      </w:pPr>
      <w:r w:rsidRPr="00DA29E1">
        <w:rPr>
          <w:rFonts w:hint="eastAsia"/>
          <w:b/>
          <w:sz w:val="32"/>
          <w:szCs w:val="32"/>
        </w:rPr>
        <w:t>招标公告</w:t>
      </w:r>
    </w:p>
    <w:p w:rsidR="00DA29E1" w:rsidRPr="00DA29E1" w:rsidRDefault="00DA29E1" w:rsidP="00405B83">
      <w:pPr>
        <w:keepNext/>
        <w:keepLines/>
        <w:spacing w:beforeLines="50" w:line="360" w:lineRule="auto"/>
        <w:outlineLvl w:val="0"/>
        <w:rPr>
          <w:rFonts w:ascii="宋体" w:hAnsi="宋体"/>
          <w:b/>
          <w:sz w:val="24"/>
        </w:rPr>
      </w:pPr>
      <w:bookmarkStart w:id="0" w:name="_Toc526722330"/>
      <w:bookmarkStart w:id="1" w:name="_Toc12875"/>
      <w:bookmarkStart w:id="2" w:name="_Toc368304857"/>
      <w:r w:rsidRPr="00DA29E1">
        <w:rPr>
          <w:rFonts w:ascii="宋体" w:hAnsi="宋体" w:hint="eastAsia"/>
          <w:b/>
          <w:sz w:val="24"/>
        </w:rPr>
        <w:t>1、采购条件</w:t>
      </w:r>
      <w:bookmarkEnd w:id="0"/>
      <w:bookmarkEnd w:id="1"/>
      <w:bookmarkEnd w:id="2"/>
    </w:p>
    <w:p w:rsidR="00DA29E1" w:rsidRPr="00DA29E1" w:rsidRDefault="00DA29E1" w:rsidP="00DA29E1">
      <w:pPr>
        <w:spacing w:line="360" w:lineRule="auto"/>
        <w:ind w:firstLineChars="200" w:firstLine="420"/>
        <w:rPr>
          <w:rFonts w:ascii="宋体" w:hAnsi="宋体"/>
          <w:szCs w:val="21"/>
        </w:rPr>
      </w:pPr>
      <w:bookmarkStart w:id="3" w:name="_Toc526722331"/>
      <w:bookmarkStart w:id="4" w:name="_Toc368304858"/>
      <w:r w:rsidRPr="00DA29E1">
        <w:rPr>
          <w:rFonts w:ascii="宋体" w:hAnsi="宋体" w:hint="eastAsia"/>
          <w:szCs w:val="21"/>
        </w:rPr>
        <w:t>嘉兴市国鸿汽车运输有限公司所属</w:t>
      </w:r>
      <w:r w:rsidRPr="00DA29E1">
        <w:rPr>
          <w:rFonts w:ascii="宋体" w:hAnsi="宋体"/>
          <w:szCs w:val="21"/>
        </w:rPr>
        <w:t>嘉兴市国鸿</w:t>
      </w:r>
      <w:r w:rsidRPr="00DA29E1">
        <w:rPr>
          <w:rFonts w:ascii="宋体" w:hAnsi="宋体" w:hint="eastAsia"/>
          <w:szCs w:val="21"/>
        </w:rPr>
        <w:t>公共交通</w:t>
      </w:r>
      <w:r w:rsidRPr="00DA29E1">
        <w:rPr>
          <w:rFonts w:ascii="宋体" w:hAnsi="宋体"/>
          <w:szCs w:val="21"/>
        </w:rPr>
        <w:t>有限公司</w:t>
      </w:r>
      <w:r w:rsidRPr="00DA29E1">
        <w:rPr>
          <w:rFonts w:ascii="宋体" w:hAnsi="宋体" w:hint="eastAsia"/>
          <w:szCs w:val="21"/>
        </w:rPr>
        <w:t>，为配合做好市域公交一体化工作，根据</w:t>
      </w:r>
      <w:r w:rsidRPr="00DA29E1">
        <w:rPr>
          <w:rFonts w:ascii="宋体" w:hAnsi="宋体"/>
          <w:szCs w:val="21"/>
        </w:rPr>
        <w:t>实际经营发展需要，</w:t>
      </w:r>
      <w:r w:rsidRPr="00DA29E1">
        <w:rPr>
          <w:rFonts w:ascii="宋体" w:hAnsi="宋体" w:hint="eastAsia"/>
          <w:szCs w:val="21"/>
        </w:rPr>
        <w:t>经嘉兴市公路与运输管理中心关于同意嘉兴市国鸿公共交通有限公司采购公交车辆的批复（嘉交复</w:t>
      </w:r>
      <w:r w:rsidRPr="00DA29E1">
        <w:rPr>
          <w:rFonts w:ascii="宋体" w:hAnsi="宋体"/>
          <w:szCs w:val="21"/>
        </w:rPr>
        <w:t>[202</w:t>
      </w:r>
      <w:r w:rsidRPr="00DA29E1">
        <w:rPr>
          <w:rFonts w:ascii="宋体" w:hAnsi="宋体" w:hint="eastAsia"/>
          <w:szCs w:val="21"/>
        </w:rPr>
        <w:t>4</w:t>
      </w:r>
      <w:r w:rsidRPr="00DA29E1">
        <w:rPr>
          <w:rFonts w:ascii="宋体" w:hAnsi="宋体"/>
          <w:szCs w:val="21"/>
        </w:rPr>
        <w:t>]</w:t>
      </w:r>
      <w:r w:rsidRPr="00DA29E1">
        <w:rPr>
          <w:rFonts w:ascii="宋体" w:hAnsi="宋体" w:hint="eastAsia"/>
          <w:szCs w:val="21"/>
        </w:rPr>
        <w:t>7号）和中共嘉兴市交通投资集团有限责任公司委员会会议纪要（〔2024〕9号）</w:t>
      </w:r>
      <w:r w:rsidRPr="00DA29E1">
        <w:rPr>
          <w:rFonts w:ascii="宋体" w:hAnsi="宋体" w:cs="宋体" w:hint="eastAsia"/>
          <w:szCs w:val="21"/>
        </w:rPr>
        <w:t>；</w:t>
      </w:r>
      <w:r w:rsidRPr="00DA29E1">
        <w:rPr>
          <w:rFonts w:ascii="宋体" w:hAnsi="宋体" w:hint="eastAsia"/>
          <w:szCs w:val="21"/>
        </w:rPr>
        <w:t>结合嘉兴市</w:t>
      </w:r>
      <w:r w:rsidRPr="00DA29E1">
        <w:rPr>
          <w:rFonts w:ascii="宋体" w:hAnsi="宋体" w:cs="宋体" w:hint="eastAsia"/>
          <w:szCs w:val="21"/>
        </w:rPr>
        <w:t>双碳发展和节能减排要求和浙江省推荐新材料科创高地建设布局，现拟采购40辆新能源纯电动公交车。</w:t>
      </w:r>
      <w:r w:rsidRPr="00DA29E1">
        <w:rPr>
          <w:rFonts w:ascii="宋体" w:hAnsi="宋体"/>
          <w:szCs w:val="21"/>
        </w:rPr>
        <w:t>本次采购采用公开招标方式确定中标人，实行资格后审。</w:t>
      </w:r>
    </w:p>
    <w:p w:rsidR="00DA29E1" w:rsidRPr="00DA29E1" w:rsidRDefault="00DA29E1" w:rsidP="00405B83">
      <w:pPr>
        <w:keepNext/>
        <w:keepLines/>
        <w:spacing w:beforeLines="50" w:line="360" w:lineRule="auto"/>
        <w:outlineLvl w:val="0"/>
        <w:rPr>
          <w:rFonts w:ascii="宋体" w:hAnsi="宋体"/>
          <w:b/>
          <w:sz w:val="24"/>
        </w:rPr>
      </w:pPr>
      <w:bookmarkStart w:id="5" w:name="_Toc4479"/>
      <w:r w:rsidRPr="00DA29E1">
        <w:rPr>
          <w:rFonts w:ascii="宋体" w:hAnsi="宋体" w:hint="eastAsia"/>
          <w:b/>
          <w:sz w:val="24"/>
        </w:rPr>
        <w:t>2、采购范围和标段划分</w:t>
      </w:r>
      <w:bookmarkEnd w:id="3"/>
      <w:bookmarkEnd w:id="4"/>
      <w:bookmarkEnd w:id="5"/>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2.1本次公交车采购共计40辆，项目总概算：</w:t>
      </w:r>
      <w:r w:rsidRPr="00DA29E1">
        <w:rPr>
          <w:rFonts w:ascii="宋体" w:hAnsi="宋体" w:hint="eastAsia"/>
          <w:szCs w:val="21"/>
          <w:u w:val="single"/>
        </w:rPr>
        <w:t>4325</w:t>
      </w:r>
      <w:r w:rsidRPr="00DA29E1">
        <w:rPr>
          <w:rFonts w:ascii="宋体" w:hAnsi="宋体" w:hint="eastAsia"/>
          <w:szCs w:val="21"/>
        </w:rPr>
        <w:t>万元，最高投标限价：</w:t>
      </w:r>
      <w:r w:rsidRPr="00DA29E1">
        <w:rPr>
          <w:rFonts w:ascii="宋体" w:hAnsi="宋体"/>
          <w:szCs w:val="21"/>
        </w:rPr>
        <w:t>4267.5</w:t>
      </w:r>
      <w:r w:rsidRPr="00DA29E1">
        <w:rPr>
          <w:rFonts w:ascii="宋体" w:hAnsi="宋体" w:hint="eastAsia"/>
          <w:szCs w:val="21"/>
        </w:rPr>
        <w:t>万元。</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2.2本次公交车采购共分2标段，具体为：</w:t>
      </w:r>
    </w:p>
    <w:tbl>
      <w:tblPr>
        <w:tblW w:w="92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2"/>
        <w:gridCol w:w="3620"/>
        <w:gridCol w:w="1404"/>
        <w:gridCol w:w="1631"/>
        <w:gridCol w:w="1816"/>
      </w:tblGrid>
      <w:tr w:rsidR="00DA29E1" w:rsidRPr="00DA29E1" w:rsidTr="003E50F4">
        <w:trPr>
          <w:trHeight w:val="573"/>
          <w:jc w:val="center"/>
        </w:trPr>
        <w:tc>
          <w:tcPr>
            <w:tcW w:w="812"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标段号</w:t>
            </w:r>
          </w:p>
        </w:tc>
        <w:tc>
          <w:tcPr>
            <w:tcW w:w="3620"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采购内容</w:t>
            </w:r>
          </w:p>
        </w:tc>
        <w:tc>
          <w:tcPr>
            <w:tcW w:w="1404"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采购数量（辆）</w:t>
            </w:r>
          </w:p>
        </w:tc>
        <w:tc>
          <w:tcPr>
            <w:tcW w:w="1631"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总投资概算</w:t>
            </w:r>
          </w:p>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（万元）</w:t>
            </w:r>
          </w:p>
        </w:tc>
        <w:tc>
          <w:tcPr>
            <w:tcW w:w="1816"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标段最高限价</w:t>
            </w:r>
          </w:p>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（万元）</w:t>
            </w:r>
          </w:p>
        </w:tc>
      </w:tr>
      <w:tr w:rsidR="00DA29E1" w:rsidRPr="00DA29E1" w:rsidTr="003E50F4">
        <w:trPr>
          <w:trHeight w:val="555"/>
          <w:jc w:val="center"/>
        </w:trPr>
        <w:tc>
          <w:tcPr>
            <w:tcW w:w="812"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一</w:t>
            </w:r>
          </w:p>
        </w:tc>
        <w:tc>
          <w:tcPr>
            <w:tcW w:w="3620"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8.5米系列纯电动（慢充）公交车</w:t>
            </w:r>
          </w:p>
        </w:tc>
        <w:tc>
          <w:tcPr>
            <w:tcW w:w="1404"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25</w:t>
            </w:r>
          </w:p>
        </w:tc>
        <w:tc>
          <w:tcPr>
            <w:tcW w:w="1631"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2375</w:t>
            </w:r>
          </w:p>
        </w:tc>
        <w:tc>
          <w:tcPr>
            <w:tcW w:w="1816"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2355</w:t>
            </w:r>
          </w:p>
        </w:tc>
      </w:tr>
      <w:tr w:rsidR="00DA29E1" w:rsidRPr="00DA29E1" w:rsidTr="003E50F4">
        <w:trPr>
          <w:trHeight w:val="615"/>
          <w:jc w:val="center"/>
        </w:trPr>
        <w:tc>
          <w:tcPr>
            <w:tcW w:w="812"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二</w:t>
            </w:r>
          </w:p>
        </w:tc>
        <w:tc>
          <w:tcPr>
            <w:tcW w:w="3620"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10.5米系列纯电动（慢充）公交车</w:t>
            </w:r>
          </w:p>
        </w:tc>
        <w:tc>
          <w:tcPr>
            <w:tcW w:w="1404"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15</w:t>
            </w:r>
          </w:p>
        </w:tc>
        <w:tc>
          <w:tcPr>
            <w:tcW w:w="1631"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1950</w:t>
            </w:r>
          </w:p>
        </w:tc>
        <w:tc>
          <w:tcPr>
            <w:tcW w:w="1816"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1912.5</w:t>
            </w:r>
          </w:p>
        </w:tc>
      </w:tr>
      <w:tr w:rsidR="00DA29E1" w:rsidRPr="00DA29E1" w:rsidTr="003E50F4">
        <w:trPr>
          <w:trHeight w:val="605"/>
          <w:jc w:val="center"/>
        </w:trPr>
        <w:tc>
          <w:tcPr>
            <w:tcW w:w="4432" w:type="dxa"/>
            <w:gridSpan w:val="2"/>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合计</w:t>
            </w:r>
          </w:p>
        </w:tc>
        <w:tc>
          <w:tcPr>
            <w:tcW w:w="1404"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40</w:t>
            </w:r>
          </w:p>
        </w:tc>
        <w:tc>
          <w:tcPr>
            <w:tcW w:w="1631"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4325</w:t>
            </w:r>
          </w:p>
        </w:tc>
        <w:tc>
          <w:tcPr>
            <w:tcW w:w="1816" w:type="dxa"/>
            <w:vAlign w:val="center"/>
          </w:tcPr>
          <w:p w:rsidR="00DA29E1" w:rsidRPr="00DA29E1" w:rsidRDefault="00DA29E1" w:rsidP="00DA29E1">
            <w:pPr>
              <w:spacing w:line="276" w:lineRule="auto"/>
              <w:jc w:val="center"/>
              <w:rPr>
                <w:rFonts w:ascii="宋体" w:hAnsi="宋体"/>
                <w:szCs w:val="21"/>
              </w:rPr>
            </w:pPr>
            <w:r w:rsidRPr="00DA29E1">
              <w:rPr>
                <w:rFonts w:ascii="宋体" w:hAnsi="宋体" w:hint="eastAsia"/>
                <w:szCs w:val="21"/>
              </w:rPr>
              <w:t>4267.5</w:t>
            </w:r>
          </w:p>
        </w:tc>
      </w:tr>
    </w:tbl>
    <w:p w:rsidR="00DA29E1" w:rsidRPr="00DA29E1" w:rsidRDefault="00DA29E1" w:rsidP="00DA29E1">
      <w:pPr>
        <w:spacing w:line="360" w:lineRule="auto"/>
        <w:ind w:firstLineChars="200" w:firstLine="422"/>
        <w:rPr>
          <w:rFonts w:ascii="宋体" w:hAnsi="宋体"/>
          <w:b/>
          <w:szCs w:val="21"/>
        </w:rPr>
      </w:pPr>
      <w:bookmarkStart w:id="6" w:name="_Toc368304859"/>
      <w:r w:rsidRPr="00DA29E1">
        <w:rPr>
          <w:rFonts w:ascii="宋体" w:hAnsi="宋体" w:hint="eastAsia"/>
          <w:b/>
          <w:szCs w:val="21"/>
        </w:rPr>
        <w:t>投标人根据自身企业情况可以对所有标段进行投标，但只能中其中一个标段。按照标段一、标段二的顺序依次进行评审，已推荐为标段中标候选的投标单位，在其他标段可参与评审但不再推荐为中标候选。</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2.3交货期限：全部标段要求签订合同后45日历天内完成交货工作。</w:t>
      </w:r>
    </w:p>
    <w:p w:rsidR="00DA29E1" w:rsidRPr="00DA29E1" w:rsidRDefault="00DA29E1" w:rsidP="00405B83">
      <w:pPr>
        <w:keepNext/>
        <w:keepLines/>
        <w:spacing w:beforeLines="50" w:line="360" w:lineRule="auto"/>
        <w:outlineLvl w:val="0"/>
        <w:rPr>
          <w:rFonts w:ascii="宋体" w:hAnsi="宋体"/>
          <w:b/>
          <w:sz w:val="24"/>
        </w:rPr>
      </w:pPr>
      <w:bookmarkStart w:id="7" w:name="_Toc14906"/>
      <w:bookmarkStart w:id="8" w:name="_Toc526722332"/>
      <w:r w:rsidRPr="00DA29E1">
        <w:rPr>
          <w:rFonts w:ascii="宋体" w:hAnsi="宋体" w:hint="eastAsia"/>
          <w:b/>
          <w:sz w:val="24"/>
        </w:rPr>
        <w:t>3、投标人资格要求</w:t>
      </w:r>
      <w:bookmarkEnd w:id="6"/>
      <w:bookmarkEnd w:id="7"/>
      <w:bookmarkEnd w:id="8"/>
    </w:p>
    <w:p w:rsidR="00DA29E1" w:rsidRPr="00DA29E1" w:rsidRDefault="00DA29E1" w:rsidP="00DA29E1">
      <w:pPr>
        <w:spacing w:line="360" w:lineRule="auto"/>
        <w:ind w:firstLineChars="200" w:firstLine="420"/>
        <w:rPr>
          <w:rFonts w:ascii="宋体" w:hAnsi="宋体" w:cs="宋体"/>
          <w:szCs w:val="21"/>
        </w:rPr>
      </w:pPr>
      <w:bookmarkStart w:id="9" w:name="_Toc368304860"/>
      <w:bookmarkStart w:id="10" w:name="_Toc526722333"/>
      <w:r w:rsidRPr="00DA29E1">
        <w:rPr>
          <w:rFonts w:ascii="宋体" w:hAnsi="宋体" w:cs="宋体" w:hint="eastAsia"/>
          <w:szCs w:val="21"/>
        </w:rPr>
        <w:t>3.1  本次采购要求投标人具有中国境内独立法人资格，并具有所投车辆制造及维护能力的生产厂家或生产厂家直属销售公司或生产厂家授权代理商。（</w:t>
      </w:r>
      <w:r w:rsidRPr="00DA29E1">
        <w:rPr>
          <w:rFonts w:ascii="宋体" w:hAnsi="宋体" w:cs="宋体" w:hint="eastAsia"/>
          <w:b/>
          <w:bCs/>
          <w:szCs w:val="21"/>
        </w:rPr>
        <w:t>如车辆生产厂家直属销售公司或车辆生产厂家委托代理商进行投标的，应取得生产厂家对本次投标活动中的所有行为负连带责任及中标标段对应的采购产品承担质量保障及售后服务承诺书。</w:t>
      </w:r>
      <w:r w:rsidRPr="00DA29E1">
        <w:rPr>
          <w:rFonts w:ascii="宋体" w:hAnsi="宋体" w:cs="宋体" w:hint="eastAsia"/>
          <w:szCs w:val="21"/>
        </w:rPr>
        <w:t>）</w:t>
      </w:r>
    </w:p>
    <w:p w:rsidR="00DA29E1" w:rsidRPr="00DA29E1" w:rsidRDefault="00DA29E1" w:rsidP="00DA29E1">
      <w:pPr>
        <w:spacing w:line="360" w:lineRule="auto"/>
        <w:ind w:firstLineChars="200" w:firstLine="420"/>
        <w:rPr>
          <w:rFonts w:ascii="宋体" w:hAnsi="宋体" w:cs="宋体"/>
          <w:szCs w:val="21"/>
        </w:rPr>
      </w:pPr>
      <w:r w:rsidRPr="00DA29E1">
        <w:rPr>
          <w:rFonts w:ascii="宋体" w:hAnsi="宋体" w:cs="宋体" w:hint="eastAsia"/>
          <w:szCs w:val="21"/>
        </w:rPr>
        <w:t>3.2 投标人不得被“信用中国”网站（http://www.creditchina.gov.cn）和“信用中</w:t>
      </w:r>
      <w:r w:rsidRPr="00DA29E1">
        <w:rPr>
          <w:rFonts w:ascii="宋体" w:hAnsi="宋体" w:cs="宋体" w:hint="eastAsia"/>
          <w:szCs w:val="21"/>
        </w:rPr>
        <w:lastRenderedPageBreak/>
        <w:t>国（浙江）”网站（http://credit.zj.gov.cn）列入严重失信黑名单。</w:t>
      </w:r>
    </w:p>
    <w:p w:rsidR="00DA29E1" w:rsidRPr="00DA29E1" w:rsidRDefault="00DA29E1" w:rsidP="00DA29E1">
      <w:pPr>
        <w:spacing w:line="360" w:lineRule="auto"/>
        <w:ind w:firstLineChars="200" w:firstLine="420"/>
        <w:rPr>
          <w:rFonts w:ascii="宋体" w:hAnsi="宋体" w:cs="宋体"/>
          <w:szCs w:val="21"/>
        </w:rPr>
      </w:pPr>
      <w:r w:rsidRPr="00DA29E1">
        <w:rPr>
          <w:rFonts w:ascii="宋体" w:hAnsi="宋体" w:cs="宋体" w:hint="eastAsia"/>
          <w:szCs w:val="21"/>
        </w:rPr>
        <w:t>3.3本次采购</w:t>
      </w:r>
      <w:r w:rsidRPr="00DA29E1">
        <w:rPr>
          <w:rFonts w:ascii="宋体" w:hAnsi="宋体" w:cs="宋体" w:hint="eastAsia"/>
          <w:szCs w:val="21"/>
          <w:u w:val="single"/>
        </w:rPr>
        <w:t>不接受</w:t>
      </w:r>
      <w:r w:rsidRPr="00DA29E1">
        <w:rPr>
          <w:rFonts w:ascii="宋体" w:hAnsi="宋体" w:cs="宋体" w:hint="eastAsia"/>
          <w:szCs w:val="21"/>
        </w:rPr>
        <w:t>联合体投标。</w:t>
      </w:r>
    </w:p>
    <w:p w:rsidR="00DA29E1" w:rsidRPr="00DA29E1" w:rsidRDefault="00DA29E1" w:rsidP="00DA29E1">
      <w:pPr>
        <w:spacing w:line="360" w:lineRule="auto"/>
        <w:ind w:firstLineChars="200" w:firstLine="420"/>
        <w:rPr>
          <w:rFonts w:ascii="宋体" w:hAnsi="宋体" w:cs="宋体"/>
          <w:szCs w:val="21"/>
        </w:rPr>
      </w:pPr>
      <w:r w:rsidRPr="00DA29E1">
        <w:rPr>
          <w:rFonts w:ascii="宋体" w:hAnsi="宋体" w:cs="宋体" w:hint="eastAsia"/>
          <w:szCs w:val="21"/>
        </w:rPr>
        <w:t>3.</w:t>
      </w:r>
      <w:bookmarkStart w:id="11" w:name="_Hlk67058391"/>
      <w:r w:rsidRPr="00DA29E1">
        <w:rPr>
          <w:rFonts w:ascii="宋体" w:hAnsi="宋体" w:cs="宋体" w:hint="eastAsia"/>
          <w:szCs w:val="21"/>
        </w:rPr>
        <w:t>4与招标人存在利害关系可能影响招标公正性的法人、其他组织或者个人，不得参加投标。单位负责人为同一人或者存在控股、管理关系的不同单位，不得参加同一标段投标或者未划分标段的同一招标项目投标。</w:t>
      </w:r>
      <w:bookmarkEnd w:id="11"/>
    </w:p>
    <w:p w:rsidR="00DA29E1" w:rsidRPr="00DA29E1" w:rsidRDefault="00DA29E1" w:rsidP="00DA29E1">
      <w:pPr>
        <w:spacing w:line="360" w:lineRule="auto"/>
        <w:ind w:firstLineChars="200" w:firstLine="420"/>
        <w:rPr>
          <w:rFonts w:ascii="宋体" w:hAnsi="宋体" w:cs="宋体"/>
          <w:szCs w:val="21"/>
        </w:rPr>
      </w:pPr>
      <w:r w:rsidRPr="00DA29E1">
        <w:rPr>
          <w:rFonts w:ascii="宋体" w:hAnsi="宋体" w:cs="宋体" w:hint="eastAsia"/>
          <w:szCs w:val="21"/>
        </w:rPr>
        <w:t>3.5 不得参与此次投标的</w:t>
      </w:r>
    </w:p>
    <w:p w:rsidR="00DA29E1" w:rsidRPr="00DA29E1" w:rsidRDefault="00DA29E1" w:rsidP="00DA29E1">
      <w:pPr>
        <w:spacing w:line="360" w:lineRule="auto"/>
        <w:ind w:firstLineChars="200" w:firstLine="420"/>
        <w:rPr>
          <w:rFonts w:ascii="宋体" w:hAnsi="宋体" w:cs="宋体"/>
          <w:szCs w:val="21"/>
        </w:rPr>
      </w:pPr>
      <w:r w:rsidRPr="00DA29E1">
        <w:rPr>
          <w:rFonts w:ascii="宋体" w:hAnsi="宋体" w:cs="宋体" w:hint="eastAsia"/>
          <w:szCs w:val="21"/>
        </w:rPr>
        <w:t>（1）为招标人不具有独立法人资格的附属机构（单位）；</w:t>
      </w:r>
    </w:p>
    <w:p w:rsidR="00DA29E1" w:rsidRPr="00DA29E1" w:rsidRDefault="00DA29E1" w:rsidP="00DA29E1">
      <w:pPr>
        <w:spacing w:line="360" w:lineRule="auto"/>
        <w:ind w:firstLineChars="200" w:firstLine="420"/>
        <w:rPr>
          <w:rFonts w:ascii="宋体" w:hAnsi="宋体" w:cs="宋体"/>
          <w:szCs w:val="21"/>
        </w:rPr>
      </w:pPr>
      <w:r w:rsidRPr="00DA29E1">
        <w:rPr>
          <w:rFonts w:ascii="宋体" w:hAnsi="宋体" w:cs="宋体" w:hint="eastAsia"/>
          <w:szCs w:val="21"/>
        </w:rPr>
        <w:t>（2）与本标段的招标人或招标代理机构同为一个法定代表人的；</w:t>
      </w:r>
    </w:p>
    <w:p w:rsidR="00DA29E1" w:rsidRPr="00DA29E1" w:rsidRDefault="00DA29E1" w:rsidP="00DA29E1">
      <w:pPr>
        <w:spacing w:line="360" w:lineRule="auto"/>
        <w:ind w:firstLineChars="200" w:firstLine="420"/>
        <w:rPr>
          <w:rFonts w:ascii="宋体" w:hAnsi="宋体" w:cs="宋体"/>
          <w:szCs w:val="21"/>
        </w:rPr>
      </w:pPr>
      <w:r w:rsidRPr="00DA29E1">
        <w:rPr>
          <w:rFonts w:ascii="宋体" w:hAnsi="宋体" w:cs="宋体" w:hint="eastAsia"/>
          <w:szCs w:val="21"/>
        </w:rPr>
        <w:t>（3）与本标段的招标人或招标代理机构相互控股或参股的；</w:t>
      </w:r>
    </w:p>
    <w:p w:rsidR="00DA29E1" w:rsidRPr="00DA29E1" w:rsidRDefault="00DA29E1" w:rsidP="00DA29E1">
      <w:pPr>
        <w:spacing w:line="360" w:lineRule="auto"/>
        <w:ind w:firstLineChars="200" w:firstLine="420"/>
        <w:rPr>
          <w:rFonts w:ascii="宋体" w:hAnsi="宋体" w:cs="宋体"/>
          <w:szCs w:val="21"/>
        </w:rPr>
      </w:pPr>
      <w:r w:rsidRPr="00DA29E1">
        <w:rPr>
          <w:rFonts w:ascii="宋体" w:hAnsi="宋体" w:cs="宋体" w:hint="eastAsia"/>
          <w:szCs w:val="21"/>
        </w:rPr>
        <w:t>（4）与本标段的招标人或招标代理机构相互任职或工作的；</w:t>
      </w:r>
    </w:p>
    <w:p w:rsidR="00DA29E1" w:rsidRPr="00DA29E1" w:rsidRDefault="00DA29E1" w:rsidP="00DA29E1">
      <w:pPr>
        <w:spacing w:line="360" w:lineRule="auto"/>
        <w:ind w:firstLineChars="200" w:firstLine="420"/>
        <w:rPr>
          <w:rFonts w:ascii="宋体" w:hAnsi="宋体" w:cs="宋体"/>
          <w:szCs w:val="21"/>
        </w:rPr>
      </w:pPr>
      <w:r w:rsidRPr="00DA29E1">
        <w:rPr>
          <w:rFonts w:ascii="宋体" w:hAnsi="宋体" w:cs="宋体" w:hint="eastAsia"/>
          <w:szCs w:val="21"/>
        </w:rPr>
        <w:t>（5）被责令停业的；</w:t>
      </w:r>
    </w:p>
    <w:p w:rsidR="00DA29E1" w:rsidRPr="00DA29E1" w:rsidRDefault="00DA29E1" w:rsidP="00DA29E1">
      <w:pPr>
        <w:spacing w:line="360" w:lineRule="auto"/>
        <w:ind w:firstLineChars="200" w:firstLine="420"/>
        <w:rPr>
          <w:rFonts w:ascii="宋体" w:hAnsi="宋体" w:cs="宋体"/>
          <w:szCs w:val="21"/>
        </w:rPr>
      </w:pPr>
      <w:r w:rsidRPr="00DA29E1">
        <w:rPr>
          <w:rFonts w:ascii="宋体" w:hAnsi="宋体" w:cs="宋体" w:hint="eastAsia"/>
          <w:szCs w:val="21"/>
        </w:rPr>
        <w:t>（6）被暂停或取消投标资格的；</w:t>
      </w:r>
    </w:p>
    <w:p w:rsidR="00DA29E1" w:rsidRPr="00DA29E1" w:rsidRDefault="00DA29E1" w:rsidP="00DA29E1">
      <w:pPr>
        <w:spacing w:line="360" w:lineRule="auto"/>
        <w:ind w:firstLineChars="200" w:firstLine="420"/>
        <w:rPr>
          <w:rFonts w:ascii="宋体" w:hAnsi="宋体" w:cs="宋体"/>
          <w:szCs w:val="21"/>
        </w:rPr>
      </w:pPr>
      <w:r w:rsidRPr="00DA29E1">
        <w:rPr>
          <w:rFonts w:ascii="宋体" w:hAnsi="宋体" w:cs="宋体" w:hint="eastAsia"/>
          <w:szCs w:val="21"/>
        </w:rPr>
        <w:t>（7）法律法规或投标人须知前附表规定的其他情形。</w:t>
      </w:r>
    </w:p>
    <w:p w:rsidR="00DA29E1" w:rsidRPr="00DA29E1" w:rsidRDefault="00DA29E1" w:rsidP="00405B83">
      <w:pPr>
        <w:keepNext/>
        <w:keepLines/>
        <w:spacing w:beforeLines="50" w:line="360" w:lineRule="auto"/>
        <w:outlineLvl w:val="0"/>
        <w:rPr>
          <w:rFonts w:ascii="宋体" w:hAnsi="宋体"/>
          <w:b/>
          <w:sz w:val="24"/>
        </w:rPr>
      </w:pPr>
      <w:bookmarkStart w:id="12" w:name="_Toc29689"/>
      <w:r w:rsidRPr="00DA29E1">
        <w:rPr>
          <w:rFonts w:ascii="宋体" w:hAnsi="宋体" w:hint="eastAsia"/>
          <w:b/>
          <w:sz w:val="24"/>
        </w:rPr>
        <w:t>4、招标文件的获取</w:t>
      </w:r>
      <w:bookmarkEnd w:id="9"/>
      <w:bookmarkEnd w:id="10"/>
      <w:bookmarkEnd w:id="12"/>
    </w:p>
    <w:p w:rsidR="00DA29E1" w:rsidRPr="00DA29E1" w:rsidRDefault="00DA29E1" w:rsidP="00DA29E1">
      <w:pPr>
        <w:spacing w:line="360" w:lineRule="auto"/>
        <w:ind w:firstLineChars="200" w:firstLine="420"/>
        <w:rPr>
          <w:rFonts w:ascii="宋体" w:hAnsi="宋体"/>
          <w:szCs w:val="21"/>
        </w:rPr>
      </w:pPr>
      <w:bookmarkStart w:id="13" w:name="_Toc526722334"/>
      <w:bookmarkStart w:id="14" w:name="_Toc368304861"/>
      <w:r w:rsidRPr="00DA29E1">
        <w:rPr>
          <w:rFonts w:ascii="宋体" w:hAnsi="宋体" w:hint="eastAsia"/>
          <w:szCs w:val="21"/>
        </w:rPr>
        <w:t>1、获取招标文件时间：2024年</w:t>
      </w:r>
      <w:r w:rsidR="00405B83">
        <w:rPr>
          <w:rFonts w:ascii="宋体" w:hAnsi="宋体" w:hint="eastAsia"/>
          <w:szCs w:val="21"/>
        </w:rPr>
        <w:t>8</w:t>
      </w:r>
      <w:r w:rsidRPr="00DA29E1">
        <w:rPr>
          <w:rFonts w:ascii="宋体" w:hAnsi="宋体" w:hint="eastAsia"/>
          <w:szCs w:val="21"/>
        </w:rPr>
        <w:t>月</w:t>
      </w:r>
      <w:r w:rsidR="00405B83">
        <w:rPr>
          <w:rFonts w:ascii="宋体" w:hAnsi="宋体" w:hint="eastAsia"/>
          <w:szCs w:val="21"/>
        </w:rPr>
        <w:t>12</w:t>
      </w:r>
      <w:r w:rsidRPr="00DA29E1">
        <w:rPr>
          <w:rFonts w:ascii="宋体" w:hAnsi="宋体" w:hint="eastAsia"/>
          <w:szCs w:val="21"/>
        </w:rPr>
        <w:t>日起至2024年</w:t>
      </w:r>
      <w:r w:rsidR="00405B83">
        <w:rPr>
          <w:rFonts w:ascii="宋体" w:hAnsi="宋体" w:hint="eastAsia"/>
          <w:szCs w:val="21"/>
        </w:rPr>
        <w:t>8</w:t>
      </w:r>
      <w:r w:rsidRPr="00DA29E1">
        <w:rPr>
          <w:rFonts w:ascii="宋体" w:hAnsi="宋体" w:hint="eastAsia"/>
          <w:szCs w:val="21"/>
        </w:rPr>
        <w:t>月</w:t>
      </w:r>
      <w:r w:rsidR="00405B83">
        <w:rPr>
          <w:rFonts w:ascii="宋体" w:hAnsi="宋体" w:hint="eastAsia"/>
          <w:szCs w:val="21"/>
        </w:rPr>
        <w:t>23</w:t>
      </w:r>
      <w:r w:rsidRPr="00DA29E1">
        <w:rPr>
          <w:rFonts w:ascii="宋体" w:hAnsi="宋体" w:hint="eastAsia"/>
          <w:szCs w:val="21"/>
        </w:rPr>
        <w:t>日</w:t>
      </w:r>
      <w:r w:rsidR="00405B83">
        <w:rPr>
          <w:rFonts w:ascii="宋体" w:hAnsi="宋体" w:hint="eastAsia"/>
          <w:szCs w:val="21"/>
        </w:rPr>
        <w:t>9</w:t>
      </w:r>
      <w:r w:rsidRPr="00DA29E1">
        <w:rPr>
          <w:rFonts w:ascii="宋体" w:hAnsi="宋体" w:hint="eastAsia"/>
          <w:szCs w:val="21"/>
        </w:rPr>
        <w:t>时</w:t>
      </w:r>
      <w:r w:rsidR="00405B83">
        <w:rPr>
          <w:rFonts w:ascii="宋体" w:hAnsi="宋体" w:hint="eastAsia"/>
          <w:szCs w:val="21"/>
        </w:rPr>
        <w:t>00</w:t>
      </w:r>
      <w:r w:rsidRPr="00DA29E1">
        <w:rPr>
          <w:rFonts w:ascii="宋体" w:hAnsi="宋体" w:hint="eastAsia"/>
          <w:szCs w:val="21"/>
        </w:rPr>
        <w:t>分止（北京时间）；</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2、获取招标文件方式：本项目招标文件实行“嘉兴禾采联综合采购服务平台”在线获取，不提供招标文件纸质版，请登录嘉兴禾采联综合采购服务平台（http://www.jxcqgs.cn/jxcqcg/）—“供应商登录”，免费注册完成后，下载获取后缀名为“.JXCQZF”的发包文件等。注册咨询、技术服务电话：0573-82813680。</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注：请投标人按上述要求获取招标文件，如未在嘉兴禾采联综合采购服务平台系统内完成相关流程，引起的投标无效责任自担。</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3、报名时间及方式：报名时间同招标文件获取时间。</w:t>
      </w:r>
    </w:p>
    <w:p w:rsidR="00DA29E1" w:rsidRPr="00DA29E1" w:rsidRDefault="00DA29E1" w:rsidP="00DA29E1">
      <w:pPr>
        <w:spacing w:line="360" w:lineRule="auto"/>
        <w:ind w:firstLineChars="200" w:firstLine="420"/>
        <w:rPr>
          <w:rFonts w:ascii="宋体" w:hAnsi="宋体"/>
          <w:szCs w:val="21"/>
          <w:u w:val="single"/>
        </w:rPr>
      </w:pPr>
      <w:r w:rsidRPr="00DA29E1">
        <w:rPr>
          <w:rFonts w:ascii="宋体" w:hAnsi="宋体" w:hint="eastAsia"/>
          <w:szCs w:val="21"/>
        </w:rPr>
        <w:t>本项目实行网上报名。投标人请登录嘉兴禾采联综合采购服务平台（http://www.jxcqgs.cn/jxcqcg/）—“供应商登录”，进行下载发包文件，即报名成功。</w:t>
      </w:r>
    </w:p>
    <w:p w:rsidR="00DA29E1" w:rsidRPr="00DA29E1" w:rsidRDefault="00DA29E1" w:rsidP="00405B83">
      <w:pPr>
        <w:keepNext/>
        <w:keepLines/>
        <w:spacing w:beforeLines="50" w:line="360" w:lineRule="auto"/>
        <w:outlineLvl w:val="0"/>
        <w:rPr>
          <w:rFonts w:ascii="宋体" w:hAnsi="宋体"/>
          <w:b/>
          <w:sz w:val="24"/>
        </w:rPr>
      </w:pPr>
      <w:bookmarkStart w:id="15" w:name="_Toc22041"/>
      <w:r w:rsidRPr="00DA29E1">
        <w:rPr>
          <w:rFonts w:ascii="宋体" w:hAnsi="宋体" w:hint="eastAsia"/>
          <w:b/>
          <w:sz w:val="24"/>
        </w:rPr>
        <w:t>5、投标文件的递交</w:t>
      </w:r>
      <w:bookmarkEnd w:id="13"/>
      <w:bookmarkEnd w:id="14"/>
      <w:r w:rsidRPr="00DA29E1">
        <w:rPr>
          <w:rFonts w:ascii="宋体" w:hAnsi="宋体" w:hint="eastAsia"/>
          <w:b/>
          <w:sz w:val="24"/>
        </w:rPr>
        <w:t>及相关事宜</w:t>
      </w:r>
      <w:bookmarkEnd w:id="15"/>
    </w:p>
    <w:p w:rsidR="00DA29E1" w:rsidRPr="00DA29E1" w:rsidRDefault="00DA29E1" w:rsidP="00DA29E1">
      <w:pPr>
        <w:spacing w:line="360" w:lineRule="auto"/>
        <w:ind w:firstLineChars="200" w:firstLine="420"/>
        <w:rPr>
          <w:rFonts w:ascii="宋体" w:hAnsi="宋体"/>
          <w:szCs w:val="21"/>
        </w:rPr>
      </w:pPr>
      <w:bookmarkStart w:id="16" w:name="_Toc368304862"/>
      <w:bookmarkStart w:id="17" w:name="_Toc526722335"/>
      <w:r w:rsidRPr="00DA29E1">
        <w:rPr>
          <w:rFonts w:ascii="宋体" w:hAnsi="宋体" w:hint="eastAsia"/>
          <w:szCs w:val="21"/>
        </w:rPr>
        <w:t>1、投标文件递交截止时间：2024年</w:t>
      </w:r>
      <w:r w:rsidR="00405B83">
        <w:rPr>
          <w:rFonts w:ascii="宋体" w:hAnsi="宋体" w:hint="eastAsia"/>
          <w:szCs w:val="21"/>
        </w:rPr>
        <w:t>8</w:t>
      </w:r>
      <w:r w:rsidRPr="00DA29E1">
        <w:rPr>
          <w:rFonts w:ascii="宋体" w:hAnsi="宋体" w:hint="eastAsia"/>
          <w:szCs w:val="21"/>
        </w:rPr>
        <w:t>月</w:t>
      </w:r>
      <w:r w:rsidR="00405B83">
        <w:rPr>
          <w:rFonts w:ascii="宋体" w:hAnsi="宋体" w:hint="eastAsia"/>
          <w:szCs w:val="21"/>
        </w:rPr>
        <w:t>23</w:t>
      </w:r>
      <w:r w:rsidRPr="00DA29E1">
        <w:rPr>
          <w:rFonts w:ascii="宋体" w:hAnsi="宋体" w:hint="eastAsia"/>
          <w:szCs w:val="21"/>
        </w:rPr>
        <w:t>日</w:t>
      </w:r>
      <w:r w:rsidR="00405B83">
        <w:rPr>
          <w:rFonts w:ascii="宋体" w:hAnsi="宋体" w:hint="eastAsia"/>
          <w:szCs w:val="21"/>
        </w:rPr>
        <w:t>9</w:t>
      </w:r>
      <w:r w:rsidRPr="00DA29E1">
        <w:rPr>
          <w:rFonts w:ascii="宋体" w:hAnsi="宋体" w:hint="eastAsia"/>
          <w:szCs w:val="21"/>
        </w:rPr>
        <w:t>时</w:t>
      </w:r>
      <w:r w:rsidR="00405B83">
        <w:rPr>
          <w:rFonts w:ascii="宋体" w:hAnsi="宋体" w:hint="eastAsia"/>
          <w:szCs w:val="21"/>
        </w:rPr>
        <w:t>00</w:t>
      </w:r>
      <w:r w:rsidRPr="00DA29E1">
        <w:rPr>
          <w:rFonts w:ascii="宋体" w:hAnsi="宋体" w:hint="eastAsia"/>
          <w:szCs w:val="21"/>
        </w:rPr>
        <w:t>分（北京时间）</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2、开标时间：同投标文件递交截止时间。</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3、投标文件递交地址（网址）：请登录嘉兴禾采联综合采购服务平台</w:t>
      </w:r>
      <w:r w:rsidRPr="00DA29E1">
        <w:rPr>
          <w:rFonts w:ascii="宋体" w:hAnsi="宋体" w:hint="eastAsia"/>
          <w:szCs w:val="21"/>
        </w:rPr>
        <w:lastRenderedPageBreak/>
        <w:t>（http://www.jxcqgs.cn/jxcqcg/）—“供应商登录”，在投标截止日期前上传投标文件，提示上传成功即完成投标。本项目通过嘉兴禾采联综合采购服务平台投标制作软件编制并加密投标文件，投标人未按规定加密的投标文件，嘉兴禾采联综合采购服务平台将予以拒收。</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4、开标地址：本次采用远程不见面开标，请投标人在开标前提前登录嘉兴禾采联综合采购服务平台（http://www.jxcqgs.cn/jxcqcg/）—“不见面开标”，登录成功后，参与线上开标流程，完成在线解密。本项目解密时长为30分钟，如未在规定时间内完成解密的，责任由投标人自负。</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注：相关制作软件及操作手册请在嘉兴禾采联综合采购服务平台首页办事指南及下载中心自行下载。</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远程不见面开标：是指将传统的开标场所搬到网上，招标人、投标人只需登录网上不见面开标大厅（http://www.jxcqgs.cn/BidOpening/bidhall/default/login），无需到达开标现场参与即可进行投标文件在线解密、投标人在线提问、招标人在线回复等操作。</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CA锁和嘉兴市公共资源交易系统通用。</w:t>
      </w:r>
    </w:p>
    <w:p w:rsidR="00DA29E1" w:rsidRPr="00DA29E1" w:rsidRDefault="00DA29E1" w:rsidP="00405B83">
      <w:pPr>
        <w:keepNext/>
        <w:keepLines/>
        <w:spacing w:beforeLines="50" w:line="360" w:lineRule="auto"/>
        <w:outlineLvl w:val="0"/>
        <w:rPr>
          <w:rFonts w:ascii="宋体" w:hAnsi="宋体"/>
          <w:b/>
          <w:sz w:val="24"/>
        </w:rPr>
      </w:pPr>
      <w:bookmarkStart w:id="18" w:name="_Toc16403"/>
      <w:r w:rsidRPr="00DA29E1">
        <w:rPr>
          <w:rFonts w:ascii="宋体" w:hAnsi="宋体" w:hint="eastAsia"/>
          <w:b/>
          <w:sz w:val="24"/>
        </w:rPr>
        <w:t>6、投标保证金的递交</w:t>
      </w:r>
      <w:bookmarkEnd w:id="16"/>
      <w:bookmarkEnd w:id="17"/>
      <w:bookmarkEnd w:id="18"/>
    </w:p>
    <w:p w:rsidR="00DA29E1" w:rsidRPr="00DA29E1" w:rsidRDefault="00DA29E1" w:rsidP="00DA29E1">
      <w:pPr>
        <w:spacing w:line="360" w:lineRule="auto"/>
        <w:ind w:firstLineChars="200" w:firstLine="420"/>
        <w:rPr>
          <w:rFonts w:ascii="宋体" w:hAnsi="宋体"/>
          <w:szCs w:val="21"/>
        </w:rPr>
      </w:pPr>
      <w:bookmarkStart w:id="19" w:name="_Toc526722336"/>
      <w:bookmarkStart w:id="20" w:name="_Toc368304863"/>
      <w:r w:rsidRPr="00DA29E1">
        <w:rPr>
          <w:rFonts w:ascii="宋体" w:hAnsi="宋体" w:hint="eastAsia"/>
          <w:szCs w:val="21"/>
        </w:rPr>
        <w:t>1.投标保证金的金额：人民币伍万元整/标段；</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 xml:space="preserve">2.交纳方式：投标人通过平台生成每个标段专用子账号，通过电脑在线划转，手机划转，柜台划转（注：不能通过现金直接存入）等缴纳保证金，应在投标截止时间前递交。 </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3.投标保证金以保函形式递交的，应包括项目名称、保证金金额、有限期限（不少于投标有效期）、承诺不可撤销、承诺见索即付等内容，保函扫描件制作在投标文件内，并在投标截止时间前以扫描件（电子版）方式发送至183771678@qq.com。（以邮件接收时间为准）</w:t>
      </w:r>
    </w:p>
    <w:p w:rsidR="00DA29E1" w:rsidRPr="00DA29E1" w:rsidRDefault="00DA29E1" w:rsidP="00405B83">
      <w:pPr>
        <w:keepNext/>
        <w:keepLines/>
        <w:spacing w:beforeLines="50" w:line="360" w:lineRule="auto"/>
        <w:outlineLvl w:val="0"/>
        <w:rPr>
          <w:rFonts w:ascii="宋体" w:hAnsi="宋体"/>
          <w:b/>
          <w:sz w:val="24"/>
        </w:rPr>
      </w:pPr>
      <w:bookmarkStart w:id="21" w:name="_Toc21959"/>
      <w:r w:rsidRPr="00DA29E1">
        <w:rPr>
          <w:rFonts w:ascii="宋体" w:hAnsi="宋体" w:hint="eastAsia"/>
          <w:b/>
          <w:sz w:val="24"/>
        </w:rPr>
        <w:t>7、发布公告的媒介</w:t>
      </w:r>
      <w:bookmarkEnd w:id="19"/>
      <w:bookmarkEnd w:id="20"/>
      <w:bookmarkEnd w:id="21"/>
    </w:p>
    <w:p w:rsidR="00DA29E1" w:rsidRPr="00DA29E1" w:rsidRDefault="00DA29E1" w:rsidP="00DA29E1">
      <w:pPr>
        <w:spacing w:line="360" w:lineRule="auto"/>
        <w:ind w:firstLineChars="200" w:firstLine="420"/>
        <w:rPr>
          <w:rFonts w:ascii="宋体" w:hAnsi="宋体"/>
          <w:szCs w:val="21"/>
        </w:rPr>
      </w:pPr>
      <w:bookmarkStart w:id="22" w:name="_Toc368304864"/>
      <w:bookmarkStart w:id="23" w:name="_Toc526722337"/>
      <w:r w:rsidRPr="00DA29E1">
        <w:rPr>
          <w:rFonts w:ascii="宋体" w:hAnsi="宋体" w:hint="eastAsia"/>
          <w:szCs w:val="21"/>
        </w:rPr>
        <w:t>本次招标公告将同时在嘉兴禾采联综合采购服务平台（http://www.jxcqgs.cn/jxcqcg/）、嘉兴市公共资源交易中心网站（http://jxszwsjb.jiaxing.gov.cn）和嘉兴市交通投资集团有限责任公司网站（http//www.jxjtjt.cn）发布。</w:t>
      </w:r>
    </w:p>
    <w:p w:rsidR="00DA29E1" w:rsidRPr="00DA29E1" w:rsidRDefault="00DA29E1" w:rsidP="00405B83">
      <w:pPr>
        <w:keepNext/>
        <w:keepLines/>
        <w:spacing w:beforeLines="50" w:line="360" w:lineRule="auto"/>
        <w:outlineLvl w:val="0"/>
        <w:rPr>
          <w:rFonts w:ascii="宋体" w:hAnsi="宋体"/>
          <w:b/>
          <w:sz w:val="24"/>
        </w:rPr>
      </w:pPr>
      <w:bookmarkStart w:id="24" w:name="_Toc19377"/>
      <w:r w:rsidRPr="00DA29E1">
        <w:rPr>
          <w:rFonts w:ascii="宋体" w:hAnsi="宋体" w:hint="eastAsia"/>
          <w:b/>
          <w:sz w:val="24"/>
        </w:rPr>
        <w:t>8、联系方式</w:t>
      </w:r>
      <w:bookmarkEnd w:id="22"/>
      <w:bookmarkEnd w:id="23"/>
      <w:bookmarkEnd w:id="24"/>
    </w:p>
    <w:p w:rsidR="00DA29E1" w:rsidRPr="00DA29E1" w:rsidRDefault="00DA29E1" w:rsidP="00DA29E1">
      <w:pPr>
        <w:spacing w:line="360" w:lineRule="auto"/>
        <w:ind w:firstLineChars="200" w:firstLine="420"/>
        <w:rPr>
          <w:rFonts w:ascii="宋体" w:hAnsi="宋体"/>
          <w:szCs w:val="21"/>
        </w:rPr>
      </w:pPr>
      <w:r w:rsidRPr="00DA29E1">
        <w:rPr>
          <w:rFonts w:ascii="宋体" w:hAnsi="宋体"/>
          <w:szCs w:val="21"/>
        </w:rPr>
        <w:t>招标人：嘉兴市国鸿</w:t>
      </w:r>
      <w:r w:rsidRPr="00DA29E1">
        <w:rPr>
          <w:rFonts w:ascii="宋体" w:hAnsi="宋体" w:hint="eastAsia"/>
          <w:szCs w:val="21"/>
        </w:rPr>
        <w:t>公共交通</w:t>
      </w:r>
      <w:r w:rsidRPr="00DA29E1">
        <w:rPr>
          <w:rFonts w:ascii="宋体" w:hAnsi="宋体"/>
          <w:szCs w:val="21"/>
        </w:rPr>
        <w:t>有限公司</w:t>
      </w:r>
    </w:p>
    <w:p w:rsidR="00DA29E1" w:rsidRPr="00DA29E1" w:rsidRDefault="00DA29E1" w:rsidP="00DA29E1">
      <w:pPr>
        <w:spacing w:line="360" w:lineRule="auto"/>
        <w:ind w:firstLineChars="200" w:firstLine="420"/>
        <w:rPr>
          <w:rFonts w:ascii="宋体" w:hAnsi="宋体"/>
          <w:szCs w:val="21"/>
        </w:rPr>
      </w:pPr>
      <w:r w:rsidRPr="00DA29E1">
        <w:rPr>
          <w:rFonts w:ascii="宋体" w:hAnsi="宋体"/>
          <w:szCs w:val="21"/>
        </w:rPr>
        <w:t>地  址：</w:t>
      </w:r>
      <w:r w:rsidRPr="00DA29E1">
        <w:rPr>
          <w:rFonts w:ascii="宋体" w:hAnsi="宋体" w:hint="eastAsia"/>
          <w:szCs w:val="21"/>
        </w:rPr>
        <w:t>嘉兴市南湖区双溪路公交车停车场（嘉城绿都芙蓉苑东北角停车场）</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联系单位：嘉兴市国鸿汽车运输有限公司</w:t>
      </w:r>
    </w:p>
    <w:p w:rsidR="00DA29E1" w:rsidRPr="00DA29E1" w:rsidRDefault="00DA29E1" w:rsidP="00DA29E1">
      <w:pPr>
        <w:spacing w:line="360" w:lineRule="auto"/>
        <w:ind w:firstLineChars="200" w:firstLine="420"/>
        <w:rPr>
          <w:rFonts w:ascii="宋体" w:hAnsi="宋体"/>
          <w:szCs w:val="21"/>
        </w:rPr>
      </w:pPr>
      <w:r w:rsidRPr="00DA29E1">
        <w:rPr>
          <w:rFonts w:ascii="宋体" w:hAnsi="宋体"/>
          <w:szCs w:val="21"/>
        </w:rPr>
        <w:lastRenderedPageBreak/>
        <w:t>地  址：</w:t>
      </w:r>
      <w:bookmarkStart w:id="25" w:name="OLE_LINK2"/>
      <w:r w:rsidRPr="00DA29E1">
        <w:rPr>
          <w:rFonts w:ascii="宋体" w:hAnsi="宋体"/>
          <w:szCs w:val="21"/>
        </w:rPr>
        <w:t>嘉兴市</w:t>
      </w:r>
      <w:r w:rsidRPr="00DA29E1">
        <w:rPr>
          <w:rFonts w:ascii="宋体" w:hAnsi="宋体" w:hint="eastAsia"/>
          <w:szCs w:val="21"/>
        </w:rPr>
        <w:t>南湖区长水街道钟家港路117号国商区城市公交停保场</w:t>
      </w:r>
      <w:bookmarkEnd w:id="25"/>
    </w:p>
    <w:p w:rsidR="00DA29E1" w:rsidRPr="00DA29E1" w:rsidRDefault="00DA29E1" w:rsidP="00DA29E1">
      <w:pPr>
        <w:spacing w:line="360" w:lineRule="auto"/>
        <w:ind w:firstLineChars="200" w:firstLine="420"/>
        <w:rPr>
          <w:rFonts w:ascii="宋体" w:hAnsi="宋体"/>
          <w:szCs w:val="21"/>
        </w:rPr>
      </w:pPr>
      <w:r w:rsidRPr="00DA29E1">
        <w:rPr>
          <w:rFonts w:ascii="宋体" w:hAnsi="宋体"/>
          <w:szCs w:val="21"/>
        </w:rPr>
        <w:t>联系人：</w:t>
      </w:r>
      <w:r w:rsidRPr="00DA29E1">
        <w:rPr>
          <w:rFonts w:ascii="宋体" w:hAnsi="宋体" w:hint="eastAsia"/>
          <w:szCs w:val="21"/>
        </w:rPr>
        <w:t>顾</w:t>
      </w:r>
      <w:r w:rsidRPr="00DA29E1">
        <w:rPr>
          <w:rFonts w:ascii="宋体" w:hAnsi="宋体"/>
          <w:szCs w:val="21"/>
        </w:rPr>
        <w:t>先生</w:t>
      </w:r>
      <w:r w:rsidRPr="00DA29E1">
        <w:rPr>
          <w:rFonts w:ascii="宋体" w:hAnsi="宋体" w:hint="eastAsia"/>
          <w:szCs w:val="21"/>
        </w:rPr>
        <w:t>、王先生</w:t>
      </w:r>
    </w:p>
    <w:p w:rsidR="00DA29E1" w:rsidRPr="00DA29E1" w:rsidRDefault="00DA29E1" w:rsidP="00DA29E1">
      <w:pPr>
        <w:spacing w:line="360" w:lineRule="auto"/>
        <w:ind w:firstLineChars="200" w:firstLine="420"/>
        <w:rPr>
          <w:rFonts w:ascii="宋体" w:hAnsi="宋体"/>
          <w:szCs w:val="21"/>
        </w:rPr>
      </w:pPr>
      <w:r w:rsidRPr="00DA29E1">
        <w:rPr>
          <w:rFonts w:ascii="宋体" w:hAnsi="宋体"/>
          <w:szCs w:val="21"/>
        </w:rPr>
        <w:t>电话</w:t>
      </w:r>
      <w:r w:rsidRPr="00DA29E1">
        <w:rPr>
          <w:rFonts w:ascii="宋体" w:hAnsi="宋体" w:hint="eastAsia"/>
          <w:szCs w:val="21"/>
        </w:rPr>
        <w:t>：</w:t>
      </w:r>
      <w:r w:rsidRPr="00DA29E1">
        <w:rPr>
          <w:rFonts w:ascii="宋体" w:hAnsi="宋体"/>
          <w:szCs w:val="21"/>
        </w:rPr>
        <w:t>0573-82089736</w:t>
      </w:r>
      <w:r w:rsidRPr="00DA29E1">
        <w:rPr>
          <w:rFonts w:ascii="宋体" w:hAnsi="宋体" w:hint="eastAsia"/>
          <w:szCs w:val="21"/>
        </w:rPr>
        <w:t>、0573-82682232</w:t>
      </w:r>
    </w:p>
    <w:p w:rsidR="00DA29E1" w:rsidRPr="00DA29E1" w:rsidRDefault="00DA29E1" w:rsidP="00DA29E1">
      <w:pPr>
        <w:spacing w:line="360" w:lineRule="auto"/>
        <w:ind w:firstLineChars="200" w:firstLine="420"/>
        <w:rPr>
          <w:rFonts w:ascii="宋体" w:hAnsi="宋体"/>
          <w:szCs w:val="21"/>
        </w:rPr>
      </w:pP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招标代理：嘉兴市建新工程造价咨询事务所有限公司</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地    址：嘉兴市会展路207号嘉宇商务楼316室</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联 系 人：胡亮</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电    话：0573-82031562/15158180524</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邮    箱：183771678@qq.com</w:t>
      </w:r>
    </w:p>
    <w:p w:rsidR="00DA29E1" w:rsidRPr="00DA29E1" w:rsidRDefault="00DA29E1" w:rsidP="00DA29E1">
      <w:pPr>
        <w:spacing w:line="360" w:lineRule="auto"/>
        <w:ind w:firstLineChars="200" w:firstLine="420"/>
        <w:rPr>
          <w:rFonts w:ascii="宋体" w:hAnsi="宋体"/>
          <w:szCs w:val="21"/>
        </w:rPr>
      </w:pP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嘉兴禾采联综合采购服务平台技术服务电话   0573-82813680</w:t>
      </w:r>
    </w:p>
    <w:p w:rsidR="00DA29E1" w:rsidRPr="00DA29E1" w:rsidRDefault="00DA29E1" w:rsidP="00DA29E1">
      <w:pPr>
        <w:spacing w:line="360" w:lineRule="auto"/>
        <w:ind w:firstLineChars="200" w:firstLine="420"/>
        <w:rPr>
          <w:rFonts w:ascii="宋体" w:hAnsi="宋体"/>
          <w:szCs w:val="21"/>
        </w:rPr>
      </w:pPr>
      <w:r w:rsidRPr="00DA29E1">
        <w:rPr>
          <w:rFonts w:ascii="宋体" w:hAnsi="宋体" w:hint="eastAsia"/>
          <w:szCs w:val="21"/>
        </w:rPr>
        <w:t>嘉兴禾采联综合采购服务平台电话   0573-82816090</w:t>
      </w:r>
    </w:p>
    <w:p w:rsidR="00DA29E1" w:rsidRPr="00DA29E1" w:rsidRDefault="00DA29E1" w:rsidP="00DA29E1">
      <w:pPr>
        <w:spacing w:line="360" w:lineRule="auto"/>
        <w:ind w:firstLineChars="200" w:firstLine="420"/>
        <w:rPr>
          <w:rFonts w:ascii="宋体" w:hAnsi="宋体"/>
          <w:szCs w:val="21"/>
        </w:rPr>
      </w:pPr>
    </w:p>
    <w:p w:rsidR="00DA29E1" w:rsidRPr="00DA29E1" w:rsidRDefault="00DA29E1" w:rsidP="00DA29E1">
      <w:pPr>
        <w:spacing w:line="360" w:lineRule="auto"/>
        <w:ind w:firstLineChars="200" w:firstLine="420"/>
        <w:rPr>
          <w:rFonts w:ascii="宋体" w:hAnsi="宋体"/>
          <w:szCs w:val="21"/>
        </w:rPr>
      </w:pPr>
    </w:p>
    <w:p w:rsidR="00DA29E1" w:rsidRPr="00DA29E1" w:rsidRDefault="00DA29E1" w:rsidP="00DA29E1">
      <w:pPr>
        <w:spacing w:line="360" w:lineRule="auto"/>
        <w:ind w:firstLineChars="200" w:firstLine="420"/>
        <w:rPr>
          <w:rFonts w:ascii="宋体" w:hAnsi="宋体"/>
          <w:szCs w:val="21"/>
        </w:rPr>
      </w:pPr>
    </w:p>
    <w:p w:rsidR="00DA29E1" w:rsidRPr="00DA29E1" w:rsidRDefault="00DA29E1" w:rsidP="00DA29E1">
      <w:pPr>
        <w:spacing w:line="360" w:lineRule="auto"/>
        <w:ind w:firstLineChars="200" w:firstLine="420"/>
        <w:jc w:val="right"/>
        <w:rPr>
          <w:rFonts w:ascii="宋体" w:hAnsi="宋体"/>
          <w:szCs w:val="21"/>
        </w:rPr>
      </w:pPr>
      <w:r w:rsidRPr="00DA29E1">
        <w:rPr>
          <w:rFonts w:ascii="宋体" w:hAnsi="宋体" w:hint="eastAsia"/>
          <w:szCs w:val="21"/>
        </w:rPr>
        <w:t>嘉兴市国鸿公共交通有限公司</w:t>
      </w:r>
    </w:p>
    <w:p w:rsidR="00DA29E1" w:rsidRPr="00DA29E1" w:rsidRDefault="00DA29E1" w:rsidP="00DA29E1">
      <w:pPr>
        <w:spacing w:line="360" w:lineRule="auto"/>
        <w:ind w:firstLineChars="200" w:firstLine="420"/>
        <w:jc w:val="right"/>
        <w:rPr>
          <w:rFonts w:ascii="宋体" w:hAnsi="宋体"/>
          <w:szCs w:val="21"/>
        </w:rPr>
      </w:pPr>
      <w:r w:rsidRPr="00DA29E1">
        <w:rPr>
          <w:rFonts w:ascii="宋体" w:hAnsi="宋体" w:hint="eastAsia"/>
          <w:szCs w:val="21"/>
        </w:rPr>
        <w:t>嘉兴市建新工程造价咨询事务所有限公司</w:t>
      </w:r>
    </w:p>
    <w:p w:rsidR="00DA29E1" w:rsidRPr="00DA29E1" w:rsidRDefault="00DA29E1" w:rsidP="00DA29E1">
      <w:pPr>
        <w:spacing w:line="360" w:lineRule="auto"/>
        <w:ind w:firstLineChars="200" w:firstLine="420"/>
        <w:jc w:val="right"/>
        <w:rPr>
          <w:rFonts w:ascii="宋体" w:hAnsi="宋体"/>
          <w:szCs w:val="21"/>
        </w:rPr>
      </w:pPr>
      <w:r w:rsidRPr="00DA29E1">
        <w:rPr>
          <w:rFonts w:ascii="宋体" w:hAnsi="宋体" w:hint="eastAsia"/>
          <w:szCs w:val="21"/>
        </w:rPr>
        <w:t>2024年</w:t>
      </w:r>
      <w:r w:rsidR="00405B83">
        <w:rPr>
          <w:rFonts w:ascii="宋体" w:hAnsi="宋体" w:hint="eastAsia"/>
          <w:szCs w:val="21"/>
        </w:rPr>
        <w:t>8</w:t>
      </w:r>
      <w:r w:rsidRPr="00DA29E1">
        <w:rPr>
          <w:rFonts w:ascii="宋体" w:hAnsi="宋体" w:hint="eastAsia"/>
          <w:szCs w:val="21"/>
        </w:rPr>
        <w:t>月</w:t>
      </w:r>
      <w:r w:rsidR="00405B83">
        <w:rPr>
          <w:rFonts w:ascii="宋体" w:hAnsi="宋体" w:hint="eastAsia"/>
          <w:szCs w:val="21"/>
        </w:rPr>
        <w:t>12</w:t>
      </w:r>
      <w:r w:rsidRPr="00DA29E1">
        <w:rPr>
          <w:rFonts w:ascii="宋体" w:hAnsi="宋体" w:hint="eastAsia"/>
          <w:szCs w:val="21"/>
        </w:rPr>
        <w:t>日</w:t>
      </w:r>
    </w:p>
    <w:p w:rsidR="00132E58" w:rsidRPr="00DA29E1" w:rsidRDefault="00132E58" w:rsidP="00DA29E1"/>
    <w:sectPr w:rsidR="00132E58" w:rsidRPr="00DA29E1" w:rsidSect="00634C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CAB" w:rsidRDefault="000B3CAB" w:rsidP="00D63C9B">
      <w:r>
        <w:separator/>
      </w:r>
    </w:p>
  </w:endnote>
  <w:endnote w:type="continuationSeparator" w:id="1">
    <w:p w:rsidR="000B3CAB" w:rsidRDefault="000B3CAB" w:rsidP="00D63C9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CAB" w:rsidRDefault="000B3CAB" w:rsidP="00D63C9B">
      <w:r>
        <w:separator/>
      </w:r>
    </w:p>
  </w:footnote>
  <w:footnote w:type="continuationSeparator" w:id="1">
    <w:p w:rsidR="000B3CAB" w:rsidRDefault="000B3CAB" w:rsidP="00D63C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726D"/>
    <w:rsid w:val="000552B5"/>
    <w:rsid w:val="000B3CAB"/>
    <w:rsid w:val="000E134E"/>
    <w:rsid w:val="00132E58"/>
    <w:rsid w:val="001C3138"/>
    <w:rsid w:val="00272F7C"/>
    <w:rsid w:val="002E2531"/>
    <w:rsid w:val="003723E5"/>
    <w:rsid w:val="003C0D8D"/>
    <w:rsid w:val="003E3753"/>
    <w:rsid w:val="003F5858"/>
    <w:rsid w:val="00405B83"/>
    <w:rsid w:val="00441A04"/>
    <w:rsid w:val="00470F78"/>
    <w:rsid w:val="00535CB1"/>
    <w:rsid w:val="005A2775"/>
    <w:rsid w:val="005B7496"/>
    <w:rsid w:val="00634CD7"/>
    <w:rsid w:val="00683948"/>
    <w:rsid w:val="00683C32"/>
    <w:rsid w:val="0072027F"/>
    <w:rsid w:val="00767A43"/>
    <w:rsid w:val="007B2D96"/>
    <w:rsid w:val="007F02FB"/>
    <w:rsid w:val="007F2CE6"/>
    <w:rsid w:val="00841AF3"/>
    <w:rsid w:val="00A63D70"/>
    <w:rsid w:val="00A6783F"/>
    <w:rsid w:val="00AF43F1"/>
    <w:rsid w:val="00AF6A0B"/>
    <w:rsid w:val="00B160B4"/>
    <w:rsid w:val="00B1726D"/>
    <w:rsid w:val="00C20F48"/>
    <w:rsid w:val="00C95299"/>
    <w:rsid w:val="00D4516A"/>
    <w:rsid w:val="00D63C9B"/>
    <w:rsid w:val="00DA29E1"/>
    <w:rsid w:val="00DE35B7"/>
    <w:rsid w:val="00E15BC2"/>
    <w:rsid w:val="00E53234"/>
    <w:rsid w:val="00E777A7"/>
    <w:rsid w:val="00EA7C58"/>
    <w:rsid w:val="00F607DB"/>
    <w:rsid w:val="00F73C86"/>
    <w:rsid w:val="00F94B3C"/>
    <w:rsid w:val="00FA2D68"/>
    <w:rsid w:val="00FD7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C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3C9B"/>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63C9B"/>
    <w:rPr>
      <w:sz w:val="18"/>
      <w:szCs w:val="18"/>
    </w:rPr>
  </w:style>
  <w:style w:type="paragraph" w:styleId="a4">
    <w:name w:val="footer"/>
    <w:basedOn w:val="a"/>
    <w:link w:val="Char0"/>
    <w:uiPriority w:val="99"/>
    <w:unhideWhenUsed/>
    <w:rsid w:val="00D63C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63C9B"/>
    <w:rPr>
      <w:sz w:val="18"/>
      <w:szCs w:val="18"/>
    </w:rPr>
  </w:style>
  <w:style w:type="paragraph" w:customStyle="1" w:styleId="-">
    <w:name w:val="正文-易蓉"/>
    <w:qFormat/>
    <w:rsid w:val="00F94B3C"/>
    <w:pPr>
      <w:spacing w:line="440" w:lineRule="atLeast"/>
      <w:ind w:firstLine="420"/>
    </w:pPr>
    <w:rPr>
      <w:rFonts w:ascii="宋体" w:eastAsia="宋体" w:hAnsi="宋体" w:cs="宋体"/>
      <w:color w:val="000000"/>
      <w:szCs w:val="21"/>
      <w:u w:color="000000"/>
    </w:rPr>
  </w:style>
  <w:style w:type="paragraph" w:styleId="a5">
    <w:name w:val="Plain Text"/>
    <w:basedOn w:val="a"/>
    <w:link w:val="Char1"/>
    <w:uiPriority w:val="99"/>
    <w:qFormat/>
    <w:rsid w:val="00132E58"/>
    <w:rPr>
      <w:rFonts w:ascii="宋体" w:hAnsi="Courier New"/>
      <w:szCs w:val="20"/>
    </w:rPr>
  </w:style>
  <w:style w:type="character" w:customStyle="1" w:styleId="a6">
    <w:name w:val="纯文本 字符"/>
    <w:basedOn w:val="a0"/>
    <w:uiPriority w:val="99"/>
    <w:semiHidden/>
    <w:rsid w:val="00132E58"/>
    <w:rPr>
      <w:rFonts w:asciiTheme="minorEastAsia" w:hAnsi="Courier New" w:cs="Courier New"/>
      <w:szCs w:val="24"/>
    </w:rPr>
  </w:style>
  <w:style w:type="table" w:styleId="a7">
    <w:name w:val="Table Grid"/>
    <w:basedOn w:val="a1"/>
    <w:uiPriority w:val="99"/>
    <w:qFormat/>
    <w:rsid w:val="00132E5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
    <w:link w:val="a5"/>
    <w:uiPriority w:val="99"/>
    <w:qFormat/>
    <w:rsid w:val="00132E58"/>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dc:creator>
  <cp:keywords/>
  <dc:description/>
  <cp:lastModifiedBy>NCC</cp:lastModifiedBy>
  <cp:revision>17</cp:revision>
  <cp:lastPrinted>2024-06-06T01:15:00Z</cp:lastPrinted>
  <dcterms:created xsi:type="dcterms:W3CDTF">2023-11-27T01:32:00Z</dcterms:created>
  <dcterms:modified xsi:type="dcterms:W3CDTF">2024-08-09T08:43:00Z</dcterms:modified>
</cp:coreProperties>
</file>