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</w:rPr>
        <w:t>S302平湖至安吉公路平湖平善大道至南湖嘉南公路段改建工程（二期）涉铁段预算审核中标人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（二期）涉铁段预算审核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涉铁段辅道桥实施范围：科技城余步公路与亚中路之间，长约1.7km（桩号K16+000-K17+700），该范围内的桥梁主体结构(含桥面)、地面道路及附属结构等内容(不含道路照明、交通设施、景观绿化等)，建安费约30622.32万元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涉铁段管线套管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Arial"/>
                <w:szCs w:val="21"/>
              </w:rPr>
              <w:t>范围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Cs w:val="21"/>
              </w:rPr>
              <w:t>电力、通信管线下穿沪杭高速公路、沪昆高铁、苏杭联络线及通苏嘉甬高速铁路段(定向钻长度300m)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szCs w:val="21"/>
              </w:rPr>
              <w:t>污水管线采用明挖直埋钢筋混凝土套管，穿越沪昆高铁、苏杭联络线及通苏嘉甬高速铁路段(套管长度150m)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，涉铁段管道迁改防护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1957.5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浙江天平投资咨询有限公司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212800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袁志卫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高级工程师（证书编号：G3300218750）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交通运输工程一级造价工程师（证书编号：建[造]12233354011715）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自合同签订之日起至项目结算完成止。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具有独立法人资格；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业绩：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嘉兴快速路下穿沪昆铁路立交工程（穿越铁路；工程造价咨询报告书日期：2020年11月20日）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3C96FE5"/>
    <w:rsid w:val="175536C5"/>
    <w:rsid w:val="182D3854"/>
    <w:rsid w:val="19E87796"/>
    <w:rsid w:val="1ED4176F"/>
    <w:rsid w:val="202B0FA6"/>
    <w:rsid w:val="2D167E87"/>
    <w:rsid w:val="3DF25C60"/>
    <w:rsid w:val="3EDD48FE"/>
    <w:rsid w:val="43B076F6"/>
    <w:rsid w:val="43F1184A"/>
    <w:rsid w:val="449725C4"/>
    <w:rsid w:val="524F4DC6"/>
    <w:rsid w:val="55B36F68"/>
    <w:rsid w:val="57163441"/>
    <w:rsid w:val="59BE657F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1427</Words>
  <Characters>1664</Characters>
  <Lines>5</Lines>
  <Paragraphs>1</Paragraphs>
  <TotalTime>4</TotalTime>
  <ScaleCrop>false</ScaleCrop>
  <LinksUpToDate>false</LinksUpToDate>
  <CharactersWithSpaces>1676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冯晓燕(fengxy)</cp:lastModifiedBy>
  <cp:lastPrinted>2022-11-17T02:31:00Z</cp:lastPrinted>
  <dcterms:modified xsi:type="dcterms:W3CDTF">2024-07-11T02:16:58Z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998305906B264147A8E042611F5F2F15_13</vt:lpwstr>
  </property>
</Properties>
</file>