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ascii="宋体" w:hAnsi="宋体" w:eastAsia="宋体" w:cs="Arial"/>
          <w:sz w:val="30"/>
          <w:szCs w:val="30"/>
        </w:rPr>
      </w:pPr>
      <w:r>
        <w:rPr>
          <w:rFonts w:hint="eastAsia" w:ascii="宋体" w:hAnsi="宋体" w:eastAsia="宋体" w:cs="Arial"/>
          <w:sz w:val="30"/>
          <w:szCs w:val="30"/>
          <w:lang w:eastAsia="zh-CN"/>
        </w:rPr>
        <w:t>S207秀洲至仙居公路茜柳路至南北湖互通段改建工程（茜柳路至盐于公路段）土建工程第TJ0</w:t>
      </w:r>
      <w:r>
        <w:rPr>
          <w:rFonts w:hint="eastAsia" w:ascii="宋体" w:hAnsi="宋体" w:eastAsia="宋体" w:cs="Arial"/>
          <w:sz w:val="30"/>
          <w:szCs w:val="30"/>
          <w:lang w:val="en-US" w:eastAsia="zh-CN"/>
        </w:rPr>
        <w:t>2</w:t>
      </w:r>
      <w:r>
        <w:rPr>
          <w:rFonts w:hint="eastAsia" w:ascii="宋体" w:hAnsi="宋体" w:eastAsia="宋体" w:cs="Arial"/>
          <w:sz w:val="30"/>
          <w:szCs w:val="30"/>
          <w:lang w:eastAsia="zh-CN"/>
        </w:rPr>
        <w:t>标段施工</w:t>
      </w:r>
      <w:r>
        <w:rPr>
          <w:rFonts w:hint="eastAsia" w:ascii="宋体" w:hAnsi="宋体" w:eastAsia="宋体" w:cs="Arial"/>
          <w:sz w:val="30"/>
          <w:szCs w:val="30"/>
        </w:rPr>
        <w:t>中标人</w:t>
      </w:r>
      <w:r>
        <w:rPr>
          <w:rFonts w:ascii="宋体" w:hAnsi="宋体" w:eastAsia="宋体" w:cs="Arial"/>
          <w:sz w:val="30"/>
          <w:szCs w:val="30"/>
        </w:rPr>
        <w:t>公示</w:t>
      </w:r>
    </w:p>
    <w:tbl>
      <w:tblPr>
        <w:tblStyle w:val="10"/>
        <w:tblW w:w="83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3"/>
        <w:gridCol w:w="65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6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工程名称</w:t>
            </w:r>
          </w:p>
        </w:tc>
        <w:tc>
          <w:tcPr>
            <w:tcW w:w="65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Arial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Arial"/>
                <w:szCs w:val="21"/>
                <w:lang w:val="en-US" w:eastAsia="zh-CN"/>
              </w:rPr>
              <w:t>S207秀洲至仙居公路茜柳路至南北湖互通段改建工程（茜柳路至盐于公路段）土建工程第TJ0</w:t>
            </w:r>
            <w:r>
              <w:rPr>
                <w:rFonts w:hint="eastAsia" w:ascii="宋体" w:hAnsi="宋体" w:eastAsia="宋体" w:cs="Arial"/>
                <w:szCs w:val="21"/>
                <w:lang w:val="en-US" w:eastAsia="zh-CN"/>
              </w:rPr>
              <w:t>2</w:t>
            </w:r>
            <w:r>
              <w:rPr>
                <w:rFonts w:hint="default" w:ascii="宋体" w:hAnsi="宋体" w:eastAsia="宋体" w:cs="Arial"/>
                <w:szCs w:val="21"/>
                <w:lang w:val="en-US" w:eastAsia="zh-CN"/>
              </w:rPr>
              <w:t>标段施工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6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招标人</w:t>
            </w:r>
          </w:p>
        </w:tc>
        <w:tc>
          <w:tcPr>
            <w:tcW w:w="654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szCs w:val="21"/>
                <w:lang w:eastAsia="zh-CN"/>
              </w:rPr>
              <w:t>嘉兴交通建设开发有限责任公司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6" w:hRule="atLeast"/>
          <w:jc w:val="center"/>
        </w:trPr>
        <w:tc>
          <w:tcPr>
            <w:tcW w:w="176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工程规模</w:t>
            </w:r>
          </w:p>
        </w:tc>
        <w:tc>
          <w:tcPr>
            <w:tcW w:w="65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jc w:val="left"/>
              <w:textAlignment w:val="auto"/>
              <w:rPr>
                <w:rFonts w:hint="eastAsia"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项目路线全长约 18.75 公里。根据建设内容分为三段：（一）茜柳路至南湖海盐交界段长 4.15 公里，新建主线高架桥 2844.53 米/2 座，分离式立交桥 1245.36 米/2 座，匝道桥 781米/2 座，改造利用地面桥梁 258.16 米/4 座；设互通式立交 1 处。（二）南湖海盐交界至盐于公路段长 10.99 公里，新建匝道桥 1954.04 米/7 座，改造利用地面桥梁 445.48 米/12 座，新建地面桥梁 31.04 米/1 座；设互通式立交 2 处。（三）盐于公路至南北湖互通段长 3.61 公里，利用大桥 549米/1 座，新建跨线桥 479 米/1 座，新建通道桥 33 米/1 座，拼宽利用桥梁 133.82 米/3 座，拆除重建桥梁 50 米/2 座；设互通式立交 1 处。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jc w:val="left"/>
              <w:textAlignment w:val="auto"/>
              <w:rPr>
                <w:rFonts w:ascii="宋体" w:hAnsi="宋体" w:eastAsia="宋体" w:cs="Arial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第TJ02标段项目概况：南湖海盐交界至盐于公路段（K11+517.035～K22+512.7）位于海盐县，沿原有嘉南公路布线，起点位于海盐县与南湖区交界处，终点位于盐于公路与本项目交叉口南侧。本段主要实施内容为：地面道路及互通匝道，路线总长10.996km，新建匝道桥 1954.04 米/7 座，改造利用地面桥梁 445.48 米/12 座，新建地面桥梁 31.04 米/1 座；设互通式立交 2 处。茜柳路至盐于公路段：茜柳路至乍嘉苏高速公路采用“利用老路+两侧新建桥梁并连接地面道路”的建设形式。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6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中标单位</w:t>
            </w:r>
          </w:p>
        </w:tc>
        <w:tc>
          <w:tcPr>
            <w:tcW w:w="65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秦山伟业建设集团有限公司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6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中标价格</w:t>
            </w:r>
          </w:p>
        </w:tc>
        <w:tc>
          <w:tcPr>
            <w:tcW w:w="654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424377517元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6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项目负责人</w:t>
            </w:r>
          </w:p>
        </w:tc>
        <w:tc>
          <w:tcPr>
            <w:tcW w:w="65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葛建华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项目经理（负责人）资质证书及编号</w:t>
            </w:r>
          </w:p>
        </w:tc>
        <w:tc>
          <w:tcPr>
            <w:tcW w:w="65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公路工程一级注册建造师 （证书编号：浙1332006200812051）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高级工程师（证书编号：G3300156073）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76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  <w:lang w:val="en-US" w:eastAsia="zh-CN"/>
              </w:rPr>
              <w:t>计划工</w:t>
            </w:r>
            <w:r>
              <w:rPr>
                <w:rFonts w:ascii="宋体" w:hAnsi="宋体" w:eastAsia="宋体" w:cs="Arial"/>
                <w:szCs w:val="21"/>
              </w:rPr>
              <w:t>期</w:t>
            </w:r>
          </w:p>
        </w:tc>
        <w:tc>
          <w:tcPr>
            <w:tcW w:w="65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25个月（750日历天），缺陷责任期24个月。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176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响应招标文件资格能力条件</w:t>
            </w:r>
          </w:p>
        </w:tc>
        <w:tc>
          <w:tcPr>
            <w:tcW w:w="65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具有独立法人资格；具有公路工程施工总承包壹级资质；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企业业绩：329国道北仑富春江至陈华段改建工程一期（K3+500-K8+350），（一级公路，交工验收日期：2022年1月26日）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</w:rPr>
              <w:t>项目经理业绩：09省道余杭塘栖至320国道杭州半山连接线工程施工第2标段公路项目（一级公路；项目总工：葛建华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）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6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中标日期</w:t>
            </w:r>
          </w:p>
        </w:tc>
        <w:tc>
          <w:tcPr>
            <w:tcW w:w="654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color w:val="333333"/>
                <w:szCs w:val="21"/>
                <w:shd w:val="clear" w:color="auto" w:fill="FFFFFF"/>
              </w:rPr>
              <w:t>202</w:t>
            </w:r>
            <w:r>
              <w:rPr>
                <w:rFonts w:hint="eastAsia" w:ascii="宋体" w:hAnsi="宋体" w:eastAsia="宋体"/>
                <w:color w:val="333333"/>
                <w:szCs w:val="21"/>
                <w:shd w:val="clear" w:color="auto" w:fill="FFFFFF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  <w:color w:val="333333"/>
                <w:szCs w:val="21"/>
                <w:shd w:val="clear" w:color="auto" w:fill="FFFFFF"/>
              </w:rPr>
              <w:t>年</w:t>
            </w:r>
            <w:r>
              <w:rPr>
                <w:rFonts w:hint="eastAsia" w:ascii="宋体" w:hAnsi="宋体" w:eastAsia="宋体"/>
                <w:color w:val="333333"/>
                <w:szCs w:val="21"/>
                <w:shd w:val="clear" w:color="auto" w:fill="FFFFFF"/>
                <w:lang w:val="en-US" w:eastAsia="zh-CN"/>
              </w:rPr>
              <w:t>6</w:t>
            </w:r>
            <w:r>
              <w:rPr>
                <w:rFonts w:hint="eastAsia" w:ascii="宋体" w:hAnsi="宋体" w:eastAsia="宋体"/>
                <w:color w:val="333333"/>
                <w:szCs w:val="21"/>
                <w:shd w:val="clear" w:color="auto" w:fill="FFFFFF"/>
              </w:rPr>
              <w:t>月</w:t>
            </w:r>
            <w:r>
              <w:rPr>
                <w:rFonts w:hint="eastAsia" w:ascii="宋体" w:hAnsi="宋体" w:eastAsia="宋体"/>
                <w:color w:val="333333"/>
                <w:szCs w:val="21"/>
                <w:shd w:val="clear" w:color="auto" w:fill="FFFFFF"/>
                <w:lang w:val="en-US" w:eastAsia="zh-CN"/>
              </w:rPr>
              <w:t>21</w:t>
            </w:r>
            <w:r>
              <w:rPr>
                <w:rFonts w:hint="eastAsia" w:ascii="宋体" w:hAnsi="宋体" w:eastAsia="宋体"/>
                <w:color w:val="333333"/>
                <w:szCs w:val="21"/>
                <w:shd w:val="clear" w:color="auto" w:fill="FFFFFF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76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备 注</w:t>
            </w:r>
          </w:p>
        </w:tc>
        <w:tc>
          <w:tcPr>
            <w:tcW w:w="654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</w:p>
        </w:tc>
      </w:tr>
    </w:tbl>
    <w:p>
      <w:pPr>
        <w:rPr>
          <w:rFonts w:ascii="宋体" w:hAnsi="宋体" w:eastAsia="宋体"/>
          <w:szCs w:val="21"/>
        </w:rPr>
      </w:pPr>
    </w:p>
    <w:sectPr>
      <w:pgSz w:w="11906" w:h="16838"/>
      <w:pgMar w:top="1418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Helvetica Neue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RkYjRlYmY2OGY0NTkwNzc3NWJhNGRiYWJiMTY1N2YifQ=="/>
  </w:docVars>
  <w:rsids>
    <w:rsidRoot w:val="00395D10"/>
    <w:rsid w:val="00016903"/>
    <w:rsid w:val="00040EC2"/>
    <w:rsid w:val="000712C3"/>
    <w:rsid w:val="000A6FE4"/>
    <w:rsid w:val="00105E8C"/>
    <w:rsid w:val="00202455"/>
    <w:rsid w:val="002128FD"/>
    <w:rsid w:val="00233FBF"/>
    <w:rsid w:val="00261AD9"/>
    <w:rsid w:val="002704EE"/>
    <w:rsid w:val="003214EA"/>
    <w:rsid w:val="00395D10"/>
    <w:rsid w:val="003E4C4A"/>
    <w:rsid w:val="00445089"/>
    <w:rsid w:val="00447CD1"/>
    <w:rsid w:val="004B4DDE"/>
    <w:rsid w:val="00574479"/>
    <w:rsid w:val="00582E4B"/>
    <w:rsid w:val="006516F0"/>
    <w:rsid w:val="006A61DD"/>
    <w:rsid w:val="006C2FC8"/>
    <w:rsid w:val="007B0A08"/>
    <w:rsid w:val="0080265E"/>
    <w:rsid w:val="008052B8"/>
    <w:rsid w:val="0083498D"/>
    <w:rsid w:val="009C5968"/>
    <w:rsid w:val="00B00F9D"/>
    <w:rsid w:val="00B62E64"/>
    <w:rsid w:val="00BF149D"/>
    <w:rsid w:val="00C92847"/>
    <w:rsid w:val="00CE728A"/>
    <w:rsid w:val="00DA0805"/>
    <w:rsid w:val="00DA3F6F"/>
    <w:rsid w:val="00DC715F"/>
    <w:rsid w:val="00E33986"/>
    <w:rsid w:val="00EB58EA"/>
    <w:rsid w:val="00F05E2E"/>
    <w:rsid w:val="00F81CB6"/>
    <w:rsid w:val="00FA3264"/>
    <w:rsid w:val="046360D0"/>
    <w:rsid w:val="0A953E80"/>
    <w:rsid w:val="0AA042D0"/>
    <w:rsid w:val="0B7833D3"/>
    <w:rsid w:val="15226761"/>
    <w:rsid w:val="19E87796"/>
    <w:rsid w:val="1C065117"/>
    <w:rsid w:val="28D761AC"/>
    <w:rsid w:val="33294BEB"/>
    <w:rsid w:val="3EDD48FE"/>
    <w:rsid w:val="41BF17E5"/>
    <w:rsid w:val="449725C4"/>
    <w:rsid w:val="55B31F06"/>
    <w:rsid w:val="55B36F68"/>
    <w:rsid w:val="57163441"/>
    <w:rsid w:val="65844AAE"/>
    <w:rsid w:val="66EA03E5"/>
    <w:rsid w:val="6EF54288"/>
    <w:rsid w:val="780207D3"/>
    <w:rsid w:val="79B43035"/>
    <w:rsid w:val="79BC1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spacing w:before="156" w:beforeLines="50"/>
      <w:ind w:firstLine="420" w:firstLineChars="200"/>
    </w:pPr>
    <w:rPr>
      <w:rFonts w:ascii="宋体" w:hAnsi="宋体"/>
      <w:spacing w:val="-6"/>
    </w:rPr>
  </w:style>
  <w:style w:type="paragraph" w:styleId="3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uiPriority w:val="99"/>
    <w:rPr>
      <w:sz w:val="24"/>
    </w:rPr>
  </w:style>
  <w:style w:type="paragraph" w:styleId="8">
    <w:name w:val="Body Text First Indent 2"/>
    <w:basedOn w:val="2"/>
    <w:qFormat/>
    <w:uiPriority w:val="0"/>
    <w:pPr>
      <w:spacing w:after="120"/>
      <w:ind w:left="420" w:leftChars="200"/>
    </w:pPr>
    <w:rPr>
      <w:rFonts w:ascii="Times New Roman" w:hAnsi="Times New Roman"/>
      <w:spacing w:val="0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页眉 字符"/>
    <w:basedOn w:val="11"/>
    <w:link w:val="6"/>
    <w:autoRedefine/>
    <w:qFormat/>
    <w:uiPriority w:val="99"/>
    <w:rPr>
      <w:sz w:val="18"/>
      <w:szCs w:val="18"/>
    </w:rPr>
  </w:style>
  <w:style w:type="character" w:customStyle="1" w:styleId="13">
    <w:name w:val="页脚 字符"/>
    <w:basedOn w:val="11"/>
    <w:link w:val="5"/>
    <w:qFormat/>
    <w:uiPriority w:val="99"/>
    <w:rPr>
      <w:sz w:val="18"/>
      <w:szCs w:val="18"/>
    </w:rPr>
  </w:style>
  <w:style w:type="character" w:customStyle="1" w:styleId="14">
    <w:name w:val="批注框文本 字符"/>
    <w:basedOn w:val="11"/>
    <w:link w:val="4"/>
    <w:semiHidden/>
    <w:qFormat/>
    <w:uiPriority w:val="99"/>
    <w:rPr>
      <w:kern w:val="2"/>
      <w:sz w:val="18"/>
      <w:szCs w:val="18"/>
    </w:rPr>
  </w:style>
  <w:style w:type="paragraph" w:customStyle="1" w:styleId="15">
    <w:name w:val="修订1"/>
    <w:autoRedefine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942</Words>
  <Characters>1132</Characters>
  <Lines>5</Lines>
  <Paragraphs>1</Paragraphs>
  <TotalTime>4</TotalTime>
  <ScaleCrop>false</ScaleCrop>
  <LinksUpToDate>false</LinksUpToDate>
  <CharactersWithSpaces>1196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2022-08-05T02:27:00Z</dcterms:created>
  <dc:creator>周 伟</dc:creator>
  <cp:lastModifiedBy>hw</cp:lastModifiedBy>
  <cp:lastPrinted>2022-11-17T02:31:00Z</cp:lastPrinted>
  <dcterms:modified xsi:type="dcterms:W3CDTF">2024-06-20T06:54:56Z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1E599CBE4BFC4A74B751FDFB66BB1B8F</vt:lpwstr>
  </property>
</Properties>
</file>