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Arial"/>
          <w:b/>
          <w:bCs/>
          <w:sz w:val="30"/>
          <w:szCs w:val="30"/>
        </w:rPr>
      </w:pPr>
      <w:bookmarkStart w:id="0" w:name="_GoBack"/>
      <w:bookmarkEnd w:id="0"/>
      <w:r>
        <w:rPr>
          <w:rFonts w:hint="eastAsia" w:ascii="宋体" w:hAnsi="宋体" w:eastAsia="宋体" w:cs="Arial"/>
          <w:b/>
          <w:bCs/>
          <w:sz w:val="30"/>
          <w:szCs w:val="30"/>
          <w:lang w:eastAsia="zh-CN"/>
        </w:rPr>
        <w:t>嘉兴市市区快速路环线工程（三期二阶段）管道穿越平湖塘</w:t>
      </w:r>
      <w:r>
        <w:rPr>
          <w:rFonts w:hint="eastAsia" w:ascii="宋体" w:hAnsi="宋体" w:eastAsia="宋体" w:cs="Arial"/>
          <w:b/>
          <w:bCs/>
          <w:sz w:val="30"/>
          <w:szCs w:val="30"/>
          <w:lang w:val="en-US" w:eastAsia="zh-CN"/>
        </w:rPr>
        <w:t xml:space="preserve">    </w:t>
      </w:r>
      <w:r>
        <w:rPr>
          <w:rFonts w:hint="eastAsia" w:ascii="宋体" w:hAnsi="宋体" w:eastAsia="宋体" w:cs="Arial"/>
          <w:b/>
          <w:bCs/>
          <w:sz w:val="30"/>
          <w:szCs w:val="30"/>
          <w:lang w:eastAsia="zh-CN"/>
        </w:rPr>
        <w:t>及嘉善塘航道通航条件影响评价</w:t>
      </w:r>
      <w:r>
        <w:rPr>
          <w:rFonts w:hint="eastAsia" w:ascii="宋体" w:hAnsi="宋体" w:eastAsia="宋体" w:cs="Arial"/>
          <w:b/>
          <w:bCs/>
          <w:sz w:val="30"/>
          <w:szCs w:val="30"/>
        </w:rPr>
        <w:t>中标人</w:t>
      </w:r>
      <w:r>
        <w:rPr>
          <w:rFonts w:ascii="宋体" w:hAnsi="宋体" w:eastAsia="宋体" w:cs="Arial"/>
          <w:b/>
          <w:bCs/>
          <w:sz w:val="30"/>
          <w:szCs w:val="30"/>
        </w:rPr>
        <w:t>公示</w:t>
      </w:r>
    </w:p>
    <w:tbl>
      <w:tblPr>
        <w:tblStyle w:val="9"/>
        <w:tblW w:w="8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工程名称</w:t>
            </w:r>
          </w:p>
        </w:tc>
        <w:tc>
          <w:tcPr>
            <w:tcW w:w="6523" w:type="dxa"/>
            <w:vAlign w:val="center"/>
          </w:tcPr>
          <w:p>
            <w:pPr>
              <w:spacing w:line="240" w:lineRule="auto"/>
              <w:jc w:val="center"/>
              <w:rPr>
                <w:rFonts w:hint="eastAsia" w:ascii="宋体" w:hAnsi="宋体" w:eastAsia="宋体" w:cs="Arial"/>
                <w:sz w:val="21"/>
                <w:szCs w:val="21"/>
                <w:lang w:eastAsia="zh-CN"/>
              </w:rPr>
            </w:pPr>
            <w:r>
              <w:rPr>
                <w:rFonts w:hint="eastAsia" w:ascii="宋体" w:hAnsi="宋体" w:eastAsia="宋体" w:cs="Arial"/>
                <w:sz w:val="21"/>
                <w:szCs w:val="21"/>
                <w:lang w:eastAsia="zh-CN"/>
              </w:rPr>
              <w:t>嘉兴市市区快速路环线工程（三期二阶段）管道穿越平湖塘</w:t>
            </w:r>
            <w:r>
              <w:rPr>
                <w:rFonts w:hint="eastAsia" w:ascii="宋体" w:hAnsi="宋体" w:eastAsia="宋体" w:cs="Arial"/>
                <w:sz w:val="21"/>
                <w:szCs w:val="21"/>
                <w:lang w:val="en-US" w:eastAsia="zh-CN"/>
              </w:rPr>
              <w:t xml:space="preserve">         </w:t>
            </w:r>
            <w:r>
              <w:rPr>
                <w:rFonts w:hint="eastAsia" w:ascii="宋体" w:hAnsi="宋体" w:eastAsia="宋体" w:cs="Arial"/>
                <w:sz w:val="21"/>
                <w:szCs w:val="21"/>
                <w:lang w:eastAsia="zh-CN"/>
              </w:rPr>
              <w:t>及嘉善塘航道通航条件影响评价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招标人</w:t>
            </w:r>
          </w:p>
        </w:tc>
        <w:tc>
          <w:tcPr>
            <w:tcW w:w="6523" w:type="dxa"/>
            <w:vAlign w:val="center"/>
          </w:tcPr>
          <w:p>
            <w:pPr>
              <w:spacing w:line="240" w:lineRule="auto"/>
              <w:jc w:val="center"/>
              <w:rPr>
                <w:rFonts w:ascii="宋体" w:hAnsi="宋体" w:eastAsia="宋体"/>
                <w:sz w:val="21"/>
                <w:szCs w:val="21"/>
              </w:rPr>
            </w:pPr>
            <w:r>
              <w:rPr>
                <w:rFonts w:ascii="宋体" w:hAnsi="宋体" w:eastAsia="宋体" w:cs="Arial"/>
                <w:sz w:val="21"/>
                <w:szCs w:val="21"/>
              </w:rPr>
              <w:t>嘉兴市快速路建设发展有限公司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756" w:type="dxa"/>
            <w:vAlign w:val="center"/>
          </w:tcPr>
          <w:p>
            <w:pPr>
              <w:spacing w:line="240" w:lineRule="auto"/>
              <w:jc w:val="center"/>
              <w:rPr>
                <w:rFonts w:ascii="宋体" w:hAnsi="宋体" w:eastAsia="宋体" w:cs="Arial"/>
                <w:sz w:val="21"/>
                <w:szCs w:val="21"/>
              </w:rPr>
            </w:pPr>
            <w:r>
              <w:rPr>
                <w:rFonts w:hint="eastAsia" w:ascii="宋体" w:hAnsi="宋体" w:eastAsia="宋体" w:cs="Arial"/>
                <w:sz w:val="21"/>
                <w:szCs w:val="21"/>
              </w:rPr>
              <w:t>工程规模</w:t>
            </w:r>
          </w:p>
        </w:tc>
        <w:tc>
          <w:tcPr>
            <w:tcW w:w="6523" w:type="dxa"/>
            <w:vAlign w:val="center"/>
          </w:tcPr>
          <w:p>
            <w:pPr>
              <w:ind w:firstLine="420" w:firstLineChars="200"/>
              <w:jc w:val="left"/>
              <w:rPr>
                <w:rFonts w:ascii="宋体" w:hAnsi="宋体" w:eastAsia="宋体" w:cs="Arial"/>
                <w:sz w:val="21"/>
                <w:szCs w:val="21"/>
              </w:rPr>
            </w:pPr>
            <w:r>
              <w:rPr>
                <w:rFonts w:hint="eastAsia" w:ascii="宋体" w:hAnsi="宋体" w:eastAsia="宋体" w:cs="宋体"/>
                <w:color w:val="333333"/>
                <w:sz w:val="21"/>
                <w:u w:val="none"/>
              </w:rPr>
              <w:t>为环线工程（三期二阶段）的建设能顺利进行，</w:t>
            </w:r>
            <w:r>
              <w:rPr>
                <w:rFonts w:hint="eastAsia" w:ascii="宋体" w:hAnsi="宋体" w:eastAsia="宋体" w:cs="宋体"/>
                <w:color w:val="333333"/>
                <w:sz w:val="21"/>
                <w:u w:val="none"/>
                <w:lang w:val="en-US" w:eastAsia="zh-CN"/>
              </w:rPr>
              <w:t>现</w:t>
            </w:r>
            <w:r>
              <w:rPr>
                <w:rFonts w:hint="eastAsia" w:ascii="宋体" w:hAnsi="宋体" w:eastAsia="宋体" w:cs="宋体"/>
                <w:color w:val="333333"/>
                <w:sz w:val="21"/>
                <w:u w:val="none"/>
              </w:rPr>
              <w:t>对三环东路沿线的管道按规划管道线位进行迁改。现有综合通讯管道、电力配网管道迁改过程中将穿越平湖塘及嘉善塘航道，需要委托第三方开展以上2条管道跨越平湖塘及嘉善塘航道通航条件影响评价</w:t>
            </w:r>
            <w:r>
              <w:rPr>
                <w:rFonts w:hint="eastAsia" w:ascii="宋体" w:hAnsi="宋体" w:eastAsia="宋体" w:cs="宋体"/>
                <w:color w:val="333333"/>
                <w:sz w:val="21"/>
                <w:u w:val="none"/>
                <w:lang w:val="en-US" w:eastAsia="zh-CN"/>
              </w:rPr>
              <w:t>(</w:t>
            </w:r>
            <w:r>
              <w:rPr>
                <w:rFonts w:hint="eastAsia" w:ascii="宋体" w:hAnsi="宋体" w:eastAsia="宋体" w:cs="宋体"/>
                <w:color w:val="333333"/>
                <w:sz w:val="21"/>
                <w:u w:val="none"/>
              </w:rPr>
              <w:t>10KV电力配网过嘉善塘、平湖塘建设MPP200*8孔+MPP110*2孔电力管道；综合通信管道穿越嘉善塘PE102*6孔，穿越平湖塘PE102*8孔</w:t>
            </w:r>
            <w:r>
              <w:rPr>
                <w:rFonts w:hint="eastAsia" w:ascii="宋体" w:hAnsi="宋体" w:eastAsia="宋体" w:cs="宋体"/>
                <w:color w:val="333333"/>
                <w:sz w:val="21"/>
                <w:u w:val="none"/>
                <w:lang w:val="en-US" w:eastAsia="zh-CN"/>
              </w:rPr>
              <w:t>)</w:t>
            </w:r>
            <w:r>
              <w:rPr>
                <w:rFonts w:hint="eastAsia" w:ascii="宋体" w:hAnsi="宋体" w:eastAsia="宋体" w:cs="宋体"/>
                <w:color w:val="333333"/>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中标单位</w:t>
            </w:r>
          </w:p>
        </w:tc>
        <w:tc>
          <w:tcPr>
            <w:tcW w:w="6523" w:type="dxa"/>
            <w:vAlign w:val="center"/>
          </w:tcPr>
          <w:p>
            <w:pPr>
              <w:widowControl/>
              <w:spacing w:line="240" w:lineRule="auto"/>
              <w:jc w:val="center"/>
              <w:rPr>
                <w:rFonts w:ascii="宋体" w:hAnsi="宋体" w:eastAsia="宋体"/>
                <w:sz w:val="21"/>
                <w:szCs w:val="21"/>
              </w:rPr>
            </w:pPr>
            <w:r>
              <w:rPr>
                <w:rFonts w:hint="eastAsia" w:ascii="宋体" w:hAnsi="宋体" w:eastAsia="宋体"/>
                <w:sz w:val="21"/>
                <w:szCs w:val="21"/>
                <w:lang w:val="en-US" w:eastAsia="zh-CN"/>
              </w:rPr>
              <w:t>浙江尚诚交通设计有限公司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中标价格</w:t>
            </w:r>
          </w:p>
        </w:tc>
        <w:tc>
          <w:tcPr>
            <w:tcW w:w="6523" w:type="dxa"/>
            <w:vAlign w:val="center"/>
          </w:tcPr>
          <w:p>
            <w:pPr>
              <w:spacing w:line="240" w:lineRule="auto"/>
              <w:jc w:val="center"/>
              <w:rPr>
                <w:rFonts w:ascii="宋体" w:hAnsi="宋体" w:eastAsia="宋体"/>
                <w:sz w:val="21"/>
                <w:szCs w:val="21"/>
              </w:rPr>
            </w:pPr>
            <w:r>
              <w:rPr>
                <w:rFonts w:hint="eastAsia" w:ascii="宋体" w:hAnsi="宋体" w:eastAsia="宋体" w:cs="Arial"/>
                <w:sz w:val="21"/>
                <w:szCs w:val="21"/>
                <w:lang w:val="en-US" w:eastAsia="zh-CN"/>
              </w:rPr>
              <w:t>188000</w:t>
            </w:r>
            <w:r>
              <w:rPr>
                <w:rFonts w:ascii="宋体" w:hAnsi="宋体" w:eastAsia="宋体" w:cs="Arial"/>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spacing w:line="240" w:lineRule="auto"/>
              <w:jc w:val="center"/>
              <w:rPr>
                <w:rFonts w:ascii="宋体" w:hAnsi="宋体" w:eastAsia="宋体" w:cs="Arial"/>
                <w:sz w:val="21"/>
                <w:szCs w:val="21"/>
              </w:rPr>
            </w:pPr>
            <w:r>
              <w:rPr>
                <w:rFonts w:hint="eastAsia" w:ascii="宋体" w:hAnsi="宋体" w:eastAsia="宋体" w:cs="Arial"/>
                <w:sz w:val="21"/>
                <w:szCs w:val="21"/>
              </w:rPr>
              <w:t>项目负责人</w:t>
            </w:r>
          </w:p>
        </w:tc>
        <w:tc>
          <w:tcPr>
            <w:tcW w:w="6523" w:type="dxa"/>
            <w:vAlign w:val="center"/>
          </w:tcPr>
          <w:p>
            <w:pPr>
              <w:widowControl/>
              <w:spacing w:line="240" w:lineRule="auto"/>
              <w:jc w:val="center"/>
              <w:rPr>
                <w:rFonts w:hint="eastAsia" w:ascii="宋体" w:hAnsi="宋体" w:eastAsia="宋体"/>
                <w:sz w:val="21"/>
                <w:szCs w:val="21"/>
              </w:rPr>
            </w:pPr>
            <w:r>
              <w:rPr>
                <w:rFonts w:hint="eastAsia" w:ascii="宋体" w:hAnsi="宋体" w:eastAsia="宋体"/>
                <w:sz w:val="21"/>
                <w:szCs w:val="21"/>
                <w:lang w:val="en-US" w:eastAsia="zh-CN"/>
              </w:rPr>
              <w:t>濮卫忠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756" w:type="dxa"/>
            <w:vAlign w:val="center"/>
          </w:tcPr>
          <w:p>
            <w:pPr>
              <w:spacing w:line="240" w:lineRule="auto"/>
              <w:jc w:val="center"/>
              <w:rPr>
                <w:rFonts w:ascii="宋体" w:hAnsi="宋体" w:eastAsia="宋体" w:cs="Arial"/>
                <w:sz w:val="21"/>
                <w:szCs w:val="21"/>
              </w:rPr>
            </w:pPr>
            <w:r>
              <w:rPr>
                <w:rFonts w:hint="eastAsia" w:ascii="宋体" w:hAnsi="宋体" w:eastAsia="宋体" w:cs="Arial"/>
                <w:sz w:val="21"/>
                <w:szCs w:val="21"/>
              </w:rPr>
              <w:t>项目经理（负责人）资质证书及编号</w:t>
            </w:r>
          </w:p>
        </w:tc>
        <w:tc>
          <w:tcPr>
            <w:tcW w:w="6523" w:type="dxa"/>
            <w:vAlign w:val="center"/>
          </w:tcPr>
          <w:p>
            <w:pPr>
              <w:widowControl/>
              <w:spacing w:line="240" w:lineRule="auto"/>
              <w:jc w:val="center"/>
              <w:rPr>
                <w:rFonts w:hint="eastAsia" w:ascii="宋体" w:hAnsi="宋体" w:eastAsia="宋体"/>
                <w:sz w:val="21"/>
                <w:szCs w:val="21"/>
              </w:rPr>
            </w:pPr>
            <w:r>
              <w:rPr>
                <w:rFonts w:hint="eastAsia" w:ascii="宋体" w:hAnsi="宋体" w:eastAsia="宋体"/>
                <w:sz w:val="21"/>
                <w:szCs w:val="21"/>
                <w:lang w:val="en-US" w:eastAsia="zh-CN"/>
              </w:rPr>
              <w:t>高级工程师（证书编号：G3300173949）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756" w:type="dxa"/>
            <w:vAlign w:val="center"/>
          </w:tcPr>
          <w:p>
            <w:pPr>
              <w:spacing w:line="240" w:lineRule="auto"/>
              <w:jc w:val="center"/>
              <w:rPr>
                <w:rFonts w:ascii="宋体" w:hAnsi="宋体" w:eastAsia="宋体"/>
                <w:sz w:val="21"/>
                <w:szCs w:val="21"/>
              </w:rPr>
            </w:pPr>
            <w:r>
              <w:rPr>
                <w:rFonts w:hint="eastAsia" w:ascii="宋体" w:hAnsi="宋体" w:eastAsia="宋体" w:cs="Arial"/>
                <w:sz w:val="21"/>
                <w:szCs w:val="21"/>
              </w:rPr>
              <w:t>服务</w:t>
            </w:r>
            <w:r>
              <w:rPr>
                <w:rFonts w:ascii="宋体" w:hAnsi="宋体" w:eastAsia="宋体" w:cs="Arial"/>
                <w:sz w:val="21"/>
                <w:szCs w:val="21"/>
              </w:rPr>
              <w:t>期</w:t>
            </w:r>
          </w:p>
        </w:tc>
        <w:tc>
          <w:tcPr>
            <w:tcW w:w="6523" w:type="dxa"/>
            <w:vAlign w:val="center"/>
          </w:tcPr>
          <w:p>
            <w:pPr>
              <w:widowControl/>
              <w:spacing w:line="240" w:lineRule="auto"/>
              <w:jc w:val="center"/>
              <w:rPr>
                <w:rFonts w:ascii="宋体" w:hAnsi="宋体" w:eastAsia="宋体"/>
                <w:sz w:val="21"/>
                <w:szCs w:val="21"/>
              </w:rPr>
            </w:pPr>
            <w:r>
              <w:rPr>
                <w:rFonts w:hint="eastAsia" w:ascii="宋体" w:hAnsi="宋体" w:eastAsia="宋体"/>
                <w:sz w:val="21"/>
                <w:szCs w:val="21"/>
              </w:rPr>
              <w:t>自合同签订之日起至取得批复文件止。合同签订后</w:t>
            </w:r>
            <w:r>
              <w:rPr>
                <w:rFonts w:hint="eastAsia" w:ascii="宋体" w:hAnsi="宋体" w:eastAsia="宋体"/>
                <w:sz w:val="21"/>
                <w:szCs w:val="21"/>
                <w:lang w:val="en-US" w:eastAsia="zh-CN"/>
              </w:rPr>
              <w:t>45</w:t>
            </w:r>
            <w:r>
              <w:rPr>
                <w:rFonts w:hint="eastAsia" w:ascii="宋体" w:hAnsi="宋体" w:eastAsia="宋体"/>
                <w:sz w:val="21"/>
                <w:szCs w:val="21"/>
              </w:rPr>
              <w:t>日历天内提交</w:t>
            </w:r>
            <w:r>
              <w:rPr>
                <w:rFonts w:hint="eastAsia" w:ascii="宋体" w:hAnsi="宋体" w:eastAsia="宋体"/>
                <w:sz w:val="21"/>
                <w:szCs w:val="21"/>
                <w:lang w:val="en-US" w:eastAsia="zh-CN"/>
              </w:rPr>
              <w:t>航道通航条件影响评价</w:t>
            </w:r>
            <w:r>
              <w:rPr>
                <w:rFonts w:hint="eastAsia" w:ascii="宋体" w:hAnsi="宋体" w:eastAsia="宋体"/>
                <w:sz w:val="21"/>
                <w:szCs w:val="21"/>
              </w:rPr>
              <w:t>报告</w:t>
            </w:r>
            <w:r>
              <w:rPr>
                <w:rFonts w:hint="eastAsia" w:ascii="宋体" w:hAnsi="宋体" w:eastAsia="宋体"/>
                <w:sz w:val="21"/>
                <w:szCs w:val="21"/>
                <w:lang w:val="en-US" w:eastAsia="zh-CN"/>
              </w:rPr>
              <w:t>并通过行政</w:t>
            </w:r>
            <w:r>
              <w:rPr>
                <w:rFonts w:hint="eastAsia" w:ascii="宋体" w:hAnsi="宋体" w:eastAsia="宋体"/>
                <w:sz w:val="21"/>
                <w:szCs w:val="21"/>
              </w:rPr>
              <w:t>主管部门审批</w:t>
            </w:r>
            <w:r>
              <w:rPr>
                <w:rFonts w:hint="eastAsia" w:ascii="宋体" w:hAnsi="宋体" w:eastAsia="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响应招标文件资格能力条件</w:t>
            </w:r>
          </w:p>
        </w:tc>
        <w:tc>
          <w:tcPr>
            <w:tcW w:w="6523" w:type="dxa"/>
            <w:vAlign w:val="center"/>
          </w:tcPr>
          <w:p>
            <w:pPr>
              <w:widowControl/>
              <w:spacing w:line="240" w:lineRule="auto"/>
              <w:ind w:firstLine="420" w:firstLineChars="200"/>
              <w:jc w:val="left"/>
              <w:rPr>
                <w:rFonts w:hint="eastAsia" w:ascii="宋体" w:hAnsi="宋体" w:eastAsia="宋体"/>
                <w:sz w:val="21"/>
                <w:szCs w:val="21"/>
                <w:lang w:val="en-US" w:eastAsia="zh-CN"/>
              </w:rPr>
            </w:pPr>
            <w:r>
              <w:rPr>
                <w:rFonts w:hint="eastAsia" w:ascii="宋体" w:hAnsi="宋体" w:eastAsia="宋体"/>
                <w:sz w:val="21"/>
                <w:szCs w:val="21"/>
                <w:lang w:val="en-US" w:eastAsia="zh-CN"/>
              </w:rPr>
              <w:t>具有独立法人资格；具有合法有效的全国投资项目在线审批监管平台备案（备案专业含“水运(含港口河海工程)”）</w:t>
            </w:r>
          </w:p>
          <w:p>
            <w:pPr>
              <w:widowControl/>
              <w:spacing w:line="240" w:lineRule="auto"/>
              <w:ind w:firstLine="420" w:firstLineChars="200"/>
              <w:jc w:val="left"/>
              <w:rPr>
                <w:rFonts w:ascii="宋体" w:hAnsi="宋体" w:eastAsia="宋体"/>
                <w:sz w:val="21"/>
                <w:szCs w:val="21"/>
              </w:rPr>
            </w:pPr>
            <w:r>
              <w:rPr>
                <w:rFonts w:hint="eastAsia" w:ascii="宋体" w:hAnsi="宋体" w:eastAsia="宋体"/>
                <w:sz w:val="21"/>
                <w:szCs w:val="21"/>
                <w:lang w:val="en-US" w:eastAsia="zh-CN"/>
              </w:rPr>
              <w:t>业绩：华友110kv输变电工程百桃-华友110kv线路工程穿越东宗线航道通航条件影响评价及施工通航安全保障方案（合同签订日期：2021年12月30日）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中标日期</w:t>
            </w:r>
          </w:p>
        </w:tc>
        <w:tc>
          <w:tcPr>
            <w:tcW w:w="6523" w:type="dxa"/>
            <w:vAlign w:val="center"/>
          </w:tcPr>
          <w:p>
            <w:pPr>
              <w:spacing w:line="240" w:lineRule="auto"/>
              <w:jc w:val="center"/>
              <w:rPr>
                <w:rFonts w:ascii="宋体" w:hAnsi="宋体" w:eastAsia="宋体"/>
                <w:sz w:val="21"/>
                <w:szCs w:val="21"/>
              </w:rPr>
            </w:pPr>
            <w:r>
              <w:rPr>
                <w:rFonts w:hint="eastAsia" w:ascii="宋体" w:hAnsi="宋体" w:eastAsia="宋体"/>
                <w:color w:val="333333"/>
                <w:sz w:val="21"/>
                <w:szCs w:val="21"/>
                <w:shd w:val="clear" w:color="auto" w:fill="FFFFFF"/>
              </w:rPr>
              <w:t>202</w:t>
            </w:r>
            <w:r>
              <w:rPr>
                <w:rFonts w:hint="eastAsia" w:ascii="宋体" w:hAnsi="宋体" w:eastAsia="宋体"/>
                <w:color w:val="333333"/>
                <w:sz w:val="21"/>
                <w:szCs w:val="21"/>
                <w:shd w:val="clear" w:color="auto" w:fill="FFFFFF"/>
                <w:lang w:val="en-US" w:eastAsia="zh-CN"/>
              </w:rPr>
              <w:t>4</w:t>
            </w:r>
            <w:r>
              <w:rPr>
                <w:rFonts w:hint="eastAsia" w:ascii="宋体" w:hAnsi="宋体" w:eastAsia="宋体"/>
                <w:color w:val="333333"/>
                <w:sz w:val="21"/>
                <w:szCs w:val="21"/>
                <w:shd w:val="clear" w:color="auto" w:fill="FFFFFF"/>
              </w:rPr>
              <w:t>年</w:t>
            </w:r>
            <w:r>
              <w:rPr>
                <w:rFonts w:hint="eastAsia" w:ascii="宋体" w:hAnsi="宋体" w:eastAsia="宋体"/>
                <w:color w:val="333333"/>
                <w:sz w:val="21"/>
                <w:szCs w:val="21"/>
                <w:shd w:val="clear" w:color="auto" w:fill="FFFFFF"/>
                <w:lang w:val="en-US" w:eastAsia="zh-CN"/>
              </w:rPr>
              <w:t>5</w:t>
            </w:r>
            <w:r>
              <w:rPr>
                <w:rFonts w:hint="eastAsia" w:ascii="宋体" w:hAnsi="宋体" w:eastAsia="宋体"/>
                <w:color w:val="333333"/>
                <w:sz w:val="21"/>
                <w:szCs w:val="21"/>
                <w:shd w:val="clear" w:color="auto" w:fill="FFFFFF"/>
              </w:rPr>
              <w:t>月</w:t>
            </w:r>
            <w:r>
              <w:rPr>
                <w:rFonts w:hint="eastAsia" w:ascii="宋体" w:hAnsi="宋体" w:eastAsia="宋体"/>
                <w:color w:val="333333"/>
                <w:sz w:val="21"/>
                <w:szCs w:val="21"/>
                <w:shd w:val="clear" w:color="auto" w:fill="FFFFFF"/>
                <w:lang w:val="en-US" w:eastAsia="zh-CN"/>
              </w:rPr>
              <w:t>9</w:t>
            </w:r>
            <w:r>
              <w:rPr>
                <w:rFonts w:hint="eastAsia" w:ascii="宋体" w:hAnsi="宋体" w:eastAsia="宋体"/>
                <w:color w:val="333333"/>
                <w:sz w:val="21"/>
                <w:szCs w:val="21"/>
                <w:shd w:val="clear" w:color="auto" w:fill="FFFFFF"/>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756" w:type="dxa"/>
            <w:vAlign w:val="center"/>
          </w:tcPr>
          <w:p>
            <w:pPr>
              <w:spacing w:line="240" w:lineRule="auto"/>
              <w:jc w:val="center"/>
              <w:rPr>
                <w:rFonts w:ascii="宋体" w:hAnsi="宋体" w:eastAsia="宋体"/>
                <w:sz w:val="21"/>
                <w:szCs w:val="21"/>
              </w:rPr>
            </w:pPr>
            <w:r>
              <w:rPr>
                <w:rFonts w:ascii="宋体" w:hAnsi="宋体" w:eastAsia="宋体" w:cs="Arial"/>
                <w:sz w:val="21"/>
                <w:szCs w:val="21"/>
              </w:rPr>
              <w:t>备 注</w:t>
            </w:r>
          </w:p>
        </w:tc>
        <w:tc>
          <w:tcPr>
            <w:tcW w:w="6523" w:type="dxa"/>
            <w:vAlign w:val="center"/>
          </w:tcPr>
          <w:p>
            <w:pPr>
              <w:spacing w:line="240" w:lineRule="auto"/>
              <w:jc w:val="center"/>
              <w:rPr>
                <w:rFonts w:ascii="宋体" w:hAnsi="宋体" w:eastAsia="宋体"/>
                <w:sz w:val="21"/>
                <w:szCs w:val="21"/>
              </w:rPr>
            </w:pPr>
          </w:p>
        </w:tc>
      </w:tr>
    </w:tbl>
    <w:p>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TZiOTYwMmUzOGRmOTVlMjk1MGRlM2YxMTc0Njg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A953E80"/>
    <w:rsid w:val="0AA042D0"/>
    <w:rsid w:val="13C96FE5"/>
    <w:rsid w:val="18A77333"/>
    <w:rsid w:val="19E87796"/>
    <w:rsid w:val="2397026D"/>
    <w:rsid w:val="28B05B20"/>
    <w:rsid w:val="3DF25C60"/>
    <w:rsid w:val="3EDD48FE"/>
    <w:rsid w:val="449725C4"/>
    <w:rsid w:val="55B36F68"/>
    <w:rsid w:val="57163441"/>
    <w:rsid w:val="65844AAE"/>
    <w:rsid w:val="66EA03E5"/>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ind w:left="420" w:leftChars="200"/>
    </w:pPr>
    <w:rPr>
      <w:rFonts w:ascii="Times New Roman" w:hAnsi="Times New Roman"/>
      <w:spacing w:val="0"/>
    </w:rPr>
  </w:style>
  <w:style w:type="paragraph" w:styleId="3">
    <w:name w:val="Body Text Indent"/>
    <w:basedOn w:val="1"/>
    <w:next w:val="4"/>
    <w:autoRedefine/>
    <w:qFormat/>
    <w:uiPriority w:val="0"/>
    <w:pPr>
      <w:spacing w:before="156" w:beforeLines="50"/>
      <w:ind w:firstLine="420" w:firstLineChars="200"/>
    </w:pPr>
    <w:rPr>
      <w:rFonts w:ascii="宋体" w:hAnsi="宋体"/>
      <w:spacing w:val="-6"/>
    </w:rPr>
  </w:style>
  <w:style w:type="paragraph" w:styleId="4">
    <w:name w:val="envelope return"/>
    <w:basedOn w:val="1"/>
    <w:autoRedefine/>
    <w:qFormat/>
    <w:uiPriority w:val="0"/>
    <w:pPr>
      <w:snapToGrid w:val="0"/>
    </w:pPr>
    <w:rPr>
      <w:rFonts w:ascii="Arial" w:hAnsi="Arial"/>
    </w:rPr>
  </w:style>
  <w:style w:type="paragraph" w:styleId="5">
    <w:name w:val="Balloon Text"/>
    <w:basedOn w:val="1"/>
    <w:link w:val="13"/>
    <w:autoRedefine/>
    <w:semiHidden/>
    <w:unhideWhenUsed/>
    <w:qFormat/>
    <w:uiPriority w:val="99"/>
    <w:rPr>
      <w:sz w:val="18"/>
      <w:szCs w:val="18"/>
    </w:rPr>
  </w:style>
  <w:style w:type="paragraph" w:styleId="6">
    <w:name w:val="footer"/>
    <w:basedOn w:val="1"/>
    <w:link w:val="12"/>
    <w:autoRedefine/>
    <w:unhideWhenUsed/>
    <w:qFormat/>
    <w:uiPriority w:val="99"/>
    <w:pPr>
      <w:tabs>
        <w:tab w:val="center" w:pos="4153"/>
        <w:tab w:val="right" w:pos="8306"/>
      </w:tabs>
      <w:snapToGrid w:val="0"/>
      <w:jc w:val="left"/>
    </w:pPr>
    <w:rPr>
      <w:sz w:val="18"/>
      <w:szCs w:val="18"/>
    </w:rPr>
  </w:style>
  <w:style w:type="paragraph" w:styleId="7">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autoRedefine/>
    <w:qFormat/>
    <w:uiPriority w:val="99"/>
    <w:rPr>
      <w:sz w:val="18"/>
      <w:szCs w:val="18"/>
    </w:rPr>
  </w:style>
  <w:style w:type="character" w:customStyle="1" w:styleId="12">
    <w:name w:val="页脚 字符"/>
    <w:basedOn w:val="10"/>
    <w:link w:val="6"/>
    <w:autoRedefine/>
    <w:qFormat/>
    <w:uiPriority w:val="99"/>
    <w:rPr>
      <w:sz w:val="18"/>
      <w:szCs w:val="18"/>
    </w:rPr>
  </w:style>
  <w:style w:type="character" w:customStyle="1" w:styleId="13">
    <w:name w:val="批注框文本 字符"/>
    <w:basedOn w:val="10"/>
    <w:link w:val="5"/>
    <w:autoRedefine/>
    <w:semiHidden/>
    <w:qFormat/>
    <w:uiPriority w:val="99"/>
    <w:rPr>
      <w:kern w:val="2"/>
      <w:sz w:val="18"/>
      <w:szCs w:val="18"/>
    </w:rPr>
  </w:style>
  <w:style w:type="paragraph" w:customStyle="1" w:styleId="14">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121</Words>
  <Characters>696</Characters>
  <Lines>5</Lines>
  <Paragraphs>1</Paragraphs>
  <TotalTime>0</TotalTime>
  <ScaleCrop>false</ScaleCrop>
  <LinksUpToDate>false</LinksUpToDate>
  <CharactersWithSpaces>816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 袁sheng</cp:lastModifiedBy>
  <cp:lastPrinted>2024-05-09T01:35:36Z</cp:lastPrinted>
  <dcterms:modified xsi:type="dcterms:W3CDTF">2024-05-09T01:35:38Z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1E599CBE4BFC4A74B751FDFB66BB1B8F</vt:lpwstr>
  </property>
</Properties>
</file>