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2A466">
      <w:pPr>
        <w:pStyle w:val="5"/>
        <w:spacing w:before="0" w:after="0" w:line="360" w:lineRule="auto"/>
        <w:rPr>
          <w:rFonts w:hint="eastAsia" w:ascii="Times New Roman" w:hAnsi="Times New Roman" w:cs="宋体"/>
          <w:color w:val="auto"/>
          <w:highlight w:val="none"/>
        </w:rPr>
      </w:pPr>
      <w:r>
        <w:rPr>
          <w:rFonts w:hint="eastAsia" w:ascii="Times New Roman" w:hAnsi="Times New Roman" w:cs="宋体"/>
          <w:color w:val="auto"/>
          <w:sz w:val="30"/>
          <w:szCs w:val="30"/>
          <w:highlight w:val="none"/>
          <w:u w:val="single"/>
        </w:rPr>
        <w:t>杭州湾绿色养护（嘉兴）股份有限公司2025年沥青类材料供应商框架协议</w:t>
      </w:r>
      <w:bookmarkStart w:id="0" w:name="_GoBack"/>
      <w:bookmarkEnd w:id="0"/>
      <w:r>
        <w:rPr>
          <w:rFonts w:hint="eastAsia" w:ascii="Times New Roman" w:hAnsi="Times New Roman" w:cs="宋体"/>
          <w:color w:val="auto"/>
          <w:sz w:val="30"/>
          <w:szCs w:val="30"/>
          <w:highlight w:val="none"/>
          <w:u w:val="single"/>
        </w:rPr>
        <w:t>招标采购</w:t>
      </w:r>
      <w:r>
        <w:rPr>
          <w:rFonts w:hint="eastAsia" w:ascii="Times New Roman" w:hAnsi="Times New Roman" w:cs="宋体"/>
          <w:color w:val="auto"/>
          <w:sz w:val="30"/>
          <w:szCs w:val="30"/>
          <w:highlight w:val="none"/>
        </w:rPr>
        <w:t>招标公告</w:t>
      </w:r>
    </w:p>
    <w:p w14:paraId="0412767B">
      <w:pPr>
        <w:rPr>
          <w:rFonts w:hint="eastAsia"/>
          <w:color w:val="auto"/>
          <w:highlight w:val="none"/>
        </w:rPr>
      </w:pPr>
    </w:p>
    <w:p w14:paraId="78E7CA8B">
      <w:pPr>
        <w:spacing w:line="360" w:lineRule="auto"/>
        <w:ind w:firstLine="420" w:firstLineChars="200"/>
        <w:rPr>
          <w:rFonts w:hint="eastAsia" w:cs="宋体"/>
          <w:color w:val="auto"/>
          <w:szCs w:val="21"/>
          <w:highlight w:val="none"/>
        </w:rPr>
      </w:pPr>
      <w:r>
        <w:rPr>
          <w:rFonts w:hint="eastAsia" w:cs="宋体"/>
          <w:color w:val="auto"/>
          <w:szCs w:val="21"/>
          <w:highlight w:val="none"/>
        </w:rPr>
        <w:t>杭州湾绿色养护（嘉兴）股份有限公司2025年沥青类材料供应商框架协议合作单位征集已列入杭州湾绿色养护（嘉兴）股份有限公司采购计划，现进行公开招标。现将有关事项公告如下：</w:t>
      </w:r>
    </w:p>
    <w:p w14:paraId="7835362F">
      <w:pPr>
        <w:spacing w:line="360" w:lineRule="auto"/>
        <w:ind w:firstLine="422" w:firstLineChars="200"/>
        <w:rPr>
          <w:rFonts w:hint="eastAsia" w:cs="宋体"/>
          <w:color w:val="auto"/>
          <w:szCs w:val="21"/>
          <w:highlight w:val="red"/>
        </w:rPr>
      </w:pPr>
      <w:r>
        <w:rPr>
          <w:rFonts w:hint="eastAsia" w:cs="宋体"/>
          <w:b/>
          <w:bCs/>
          <w:color w:val="auto"/>
          <w:szCs w:val="21"/>
          <w:highlight w:val="none"/>
        </w:rPr>
        <w:t>一、采购方式：</w:t>
      </w:r>
      <w:r>
        <w:rPr>
          <w:rFonts w:hint="eastAsia" w:cs="宋体"/>
          <w:color w:val="auto"/>
          <w:szCs w:val="21"/>
          <w:highlight w:val="none"/>
        </w:rPr>
        <w:t>公开招标（采用资格后审方式）</w:t>
      </w:r>
    </w:p>
    <w:p w14:paraId="40F7FCE3">
      <w:pPr>
        <w:spacing w:line="360" w:lineRule="auto"/>
        <w:ind w:firstLine="422" w:firstLineChars="200"/>
        <w:rPr>
          <w:rFonts w:hint="eastAsia" w:cs="宋体"/>
          <w:color w:val="auto"/>
          <w:szCs w:val="21"/>
          <w:highlight w:val="none"/>
        </w:rPr>
      </w:pPr>
      <w:r>
        <w:rPr>
          <w:rFonts w:hint="eastAsia" w:cs="宋体"/>
          <w:b/>
          <w:bCs/>
          <w:color w:val="auto"/>
          <w:szCs w:val="21"/>
          <w:highlight w:val="none"/>
        </w:rPr>
        <w:t>二、招标采购内容：</w:t>
      </w:r>
    </w:p>
    <w:p w14:paraId="42B2C078">
      <w:pPr>
        <w:pStyle w:val="2"/>
        <w:spacing w:line="360" w:lineRule="auto"/>
        <w:ind w:firstLine="560"/>
        <w:rPr>
          <w:rFonts w:hint="eastAsia" w:cs="宋体"/>
          <w:bCs/>
          <w:color w:val="auto"/>
          <w:szCs w:val="21"/>
          <w:highlight w:val="none"/>
        </w:rPr>
      </w:pPr>
      <w:r>
        <w:rPr>
          <w:rFonts w:hint="eastAsia" w:cs="宋体"/>
          <w:bCs/>
          <w:color w:val="auto"/>
          <w:szCs w:val="21"/>
          <w:highlight w:val="none"/>
        </w:rPr>
        <w:t>2.1、杭州湾绿色养护（嘉兴）股份有限公司沥青混合料销售业务每年在30-40万吨，沥青类材料是主要的原材料，主要有三大品类：进口沥青、国产沥青和特种沥青。每年沥青总需求量约15000-20000吨左右（根据往年情况统计，仅供参考），采购内容包括提供供货、运输、质保及售后服务。</w:t>
      </w:r>
    </w:p>
    <w:p w14:paraId="2179CE6B">
      <w:pPr>
        <w:spacing w:line="360" w:lineRule="auto"/>
        <w:ind w:firstLine="420" w:firstLineChars="200"/>
        <w:rPr>
          <w:rFonts w:hint="eastAsia" w:cs="宋体"/>
          <w:color w:val="auto"/>
          <w:szCs w:val="21"/>
          <w:highlight w:val="none"/>
        </w:rPr>
      </w:pPr>
      <w:r>
        <w:rPr>
          <w:rFonts w:hint="eastAsia" w:cs="宋体"/>
          <w:bCs/>
          <w:color w:val="auto"/>
          <w:szCs w:val="21"/>
          <w:highlight w:val="none"/>
        </w:rPr>
        <w:t>2.2、本次招标将确定2025年公司沥青采购项目中标供应商，并签订框架协议。在项目合同基本确定、具体采购需求明确后，在此次招标框架原则之下</w:t>
      </w:r>
      <w:r>
        <w:rPr>
          <w:rFonts w:hint="eastAsia" w:cs="宋体"/>
          <w:color w:val="auto"/>
          <w:szCs w:val="21"/>
          <w:highlight w:val="none"/>
        </w:rPr>
        <w:t>由招标人根据实际需要从第一阶段进入框架协议的供应商中</w:t>
      </w:r>
      <w:r>
        <w:rPr>
          <w:rFonts w:hint="eastAsia" w:cs="宋体"/>
          <w:bCs/>
          <w:color w:val="auto"/>
          <w:szCs w:val="21"/>
          <w:highlight w:val="none"/>
        </w:rPr>
        <w:t>采用询比、询价、竞争性谈判等采购方式确定供应商，</w:t>
      </w:r>
      <w:r>
        <w:rPr>
          <w:rFonts w:hint="eastAsia" w:cs="宋体"/>
          <w:color w:val="auto"/>
          <w:szCs w:val="21"/>
          <w:highlight w:val="none"/>
        </w:rPr>
        <w:t>在进入框架协议的供应商中按“低价优先”原则选定</w:t>
      </w:r>
      <w:r>
        <w:rPr>
          <w:rFonts w:hint="eastAsia" w:cs="宋体"/>
          <w:bCs/>
          <w:color w:val="auto"/>
          <w:szCs w:val="21"/>
          <w:highlight w:val="none"/>
        </w:rPr>
        <w:t>，不再另行单独招标</w:t>
      </w:r>
      <w:r>
        <w:rPr>
          <w:rFonts w:hint="eastAsia" w:cs="宋体"/>
          <w:color w:val="auto"/>
          <w:szCs w:val="21"/>
          <w:highlight w:val="none"/>
        </w:rPr>
        <w:t>。第二阶段采购时，进入框架协议的供应商报价不得超过采购人的最高限制单价，若遇有两家或以上单位的最低报价相同时，则由招标人采购小组以投票表决的形式决定。如有特殊原因除外，即项目合同业主若对品牌等专有要求或约定的，可根据实际采购需求组织单一来源采购或谈判采购等上级公司批准的采购方式。</w:t>
      </w:r>
    </w:p>
    <w:p w14:paraId="76DB332B">
      <w:pPr>
        <w:spacing w:line="300" w:lineRule="exact"/>
        <w:ind w:firstLine="420" w:firstLineChars="200"/>
        <w:rPr>
          <w:rFonts w:hint="eastAsia" w:cs="宋体"/>
          <w:bCs/>
          <w:color w:val="auto"/>
          <w:szCs w:val="21"/>
          <w:highlight w:val="none"/>
        </w:rPr>
      </w:pPr>
      <w:r>
        <w:rPr>
          <w:rFonts w:hint="eastAsia" w:cs="宋体"/>
          <w:bCs/>
          <w:color w:val="auto"/>
          <w:szCs w:val="21"/>
          <w:highlight w:val="none"/>
        </w:rPr>
        <w:t>2.3、本次招标设4个合同包，招标范围如下：</w:t>
      </w:r>
    </w:p>
    <w:tbl>
      <w:tblPr>
        <w:tblStyle w:val="6"/>
        <w:tblW w:w="4952" w:type="pct"/>
        <w:tblInd w:w="0" w:type="dxa"/>
        <w:tblLayout w:type="fixed"/>
        <w:tblCellMar>
          <w:top w:w="0" w:type="dxa"/>
          <w:left w:w="108" w:type="dxa"/>
          <w:bottom w:w="0" w:type="dxa"/>
          <w:right w:w="108" w:type="dxa"/>
        </w:tblCellMar>
      </w:tblPr>
      <w:tblGrid>
        <w:gridCol w:w="1111"/>
        <w:gridCol w:w="1540"/>
        <w:gridCol w:w="1300"/>
        <w:gridCol w:w="1407"/>
        <w:gridCol w:w="3082"/>
      </w:tblGrid>
      <w:tr w14:paraId="37EB53EC">
        <w:tblPrEx>
          <w:tblCellMar>
            <w:top w:w="0" w:type="dxa"/>
            <w:left w:w="108" w:type="dxa"/>
            <w:bottom w:w="0" w:type="dxa"/>
            <w:right w:w="108" w:type="dxa"/>
          </w:tblCellMar>
        </w:tblPrEx>
        <w:trPr>
          <w:trHeight w:val="590" w:hRule="atLeast"/>
        </w:trPr>
        <w:tc>
          <w:tcPr>
            <w:tcW w:w="658" w:type="pct"/>
            <w:tcBorders>
              <w:top w:val="single" w:color="auto" w:sz="4" w:space="0"/>
              <w:left w:val="single" w:color="auto" w:sz="4" w:space="0"/>
              <w:bottom w:val="single" w:color="auto" w:sz="4" w:space="0"/>
              <w:right w:val="single" w:color="auto" w:sz="4" w:space="0"/>
            </w:tcBorders>
            <w:noWrap w:val="0"/>
            <w:vAlign w:val="center"/>
          </w:tcPr>
          <w:p w14:paraId="692B9CD8">
            <w:pPr>
              <w:spacing w:line="300" w:lineRule="exact"/>
              <w:jc w:val="center"/>
              <w:rPr>
                <w:rFonts w:hint="eastAsia" w:cs="宋体"/>
                <w:bCs/>
                <w:color w:val="auto"/>
                <w:szCs w:val="21"/>
                <w:highlight w:val="none"/>
              </w:rPr>
            </w:pPr>
            <w:r>
              <w:rPr>
                <w:rFonts w:hint="eastAsia" w:cs="宋体"/>
                <w:bCs/>
                <w:color w:val="auto"/>
                <w:szCs w:val="21"/>
                <w:highlight w:val="none"/>
              </w:rPr>
              <w:t>合同包</w:t>
            </w:r>
          </w:p>
        </w:tc>
        <w:tc>
          <w:tcPr>
            <w:tcW w:w="911" w:type="pct"/>
            <w:tcBorders>
              <w:top w:val="single" w:color="auto" w:sz="4" w:space="0"/>
              <w:left w:val="nil"/>
              <w:bottom w:val="single" w:color="auto" w:sz="4" w:space="0"/>
              <w:right w:val="single" w:color="auto" w:sz="4" w:space="0"/>
            </w:tcBorders>
            <w:noWrap w:val="0"/>
            <w:vAlign w:val="center"/>
          </w:tcPr>
          <w:p w14:paraId="416535A7">
            <w:pPr>
              <w:spacing w:line="300" w:lineRule="exact"/>
              <w:jc w:val="center"/>
              <w:rPr>
                <w:rFonts w:hint="eastAsia" w:cs="宋体"/>
                <w:bCs/>
                <w:color w:val="auto"/>
                <w:szCs w:val="21"/>
                <w:highlight w:val="none"/>
              </w:rPr>
            </w:pPr>
            <w:r>
              <w:rPr>
                <w:rFonts w:hint="eastAsia" w:cs="宋体"/>
                <w:bCs/>
                <w:color w:val="auto"/>
                <w:szCs w:val="21"/>
                <w:highlight w:val="none"/>
              </w:rPr>
              <w:t>材料名称</w:t>
            </w:r>
          </w:p>
        </w:tc>
        <w:tc>
          <w:tcPr>
            <w:tcW w:w="770" w:type="pct"/>
            <w:tcBorders>
              <w:top w:val="single" w:color="auto" w:sz="4" w:space="0"/>
              <w:left w:val="nil"/>
              <w:bottom w:val="single" w:color="auto" w:sz="4" w:space="0"/>
              <w:right w:val="single" w:color="auto" w:sz="4" w:space="0"/>
            </w:tcBorders>
            <w:noWrap w:val="0"/>
            <w:vAlign w:val="center"/>
          </w:tcPr>
          <w:p w14:paraId="6A7489D3">
            <w:pPr>
              <w:spacing w:line="300" w:lineRule="exact"/>
              <w:jc w:val="center"/>
              <w:rPr>
                <w:rFonts w:hint="eastAsia" w:cs="宋体"/>
                <w:bCs/>
                <w:color w:val="auto"/>
                <w:szCs w:val="21"/>
                <w:highlight w:val="none"/>
              </w:rPr>
            </w:pPr>
            <w:r>
              <w:rPr>
                <w:rFonts w:hint="eastAsia" w:cs="宋体"/>
                <w:bCs/>
                <w:color w:val="auto"/>
                <w:szCs w:val="21"/>
                <w:highlight w:val="none"/>
              </w:rPr>
              <w:t>规格型号</w:t>
            </w:r>
          </w:p>
        </w:tc>
        <w:tc>
          <w:tcPr>
            <w:tcW w:w="833" w:type="pct"/>
            <w:tcBorders>
              <w:top w:val="single" w:color="auto" w:sz="4" w:space="0"/>
              <w:left w:val="nil"/>
              <w:bottom w:val="single" w:color="auto" w:sz="4" w:space="0"/>
              <w:right w:val="single" w:color="auto" w:sz="4" w:space="0"/>
            </w:tcBorders>
            <w:noWrap w:val="0"/>
            <w:vAlign w:val="bottom"/>
          </w:tcPr>
          <w:p w14:paraId="04B837F1">
            <w:pPr>
              <w:spacing w:line="300" w:lineRule="exact"/>
              <w:jc w:val="center"/>
              <w:rPr>
                <w:rFonts w:hint="eastAsia" w:cs="宋体"/>
                <w:bCs/>
                <w:color w:val="auto"/>
                <w:szCs w:val="21"/>
                <w:highlight w:val="none"/>
              </w:rPr>
            </w:pPr>
            <w:r>
              <w:rPr>
                <w:rFonts w:hint="eastAsia" w:cs="宋体"/>
                <w:bCs/>
                <w:color w:val="auto"/>
                <w:szCs w:val="21"/>
                <w:highlight w:val="none"/>
              </w:rPr>
              <w:t>进入框架协议单位数量</w:t>
            </w:r>
          </w:p>
        </w:tc>
        <w:tc>
          <w:tcPr>
            <w:tcW w:w="1825" w:type="pct"/>
            <w:tcBorders>
              <w:top w:val="single" w:color="auto" w:sz="4" w:space="0"/>
              <w:left w:val="nil"/>
              <w:bottom w:val="single" w:color="auto" w:sz="4" w:space="0"/>
              <w:right w:val="single" w:color="auto" w:sz="4" w:space="0"/>
            </w:tcBorders>
            <w:noWrap w:val="0"/>
            <w:vAlign w:val="center"/>
          </w:tcPr>
          <w:p w14:paraId="6CA7014E">
            <w:pPr>
              <w:spacing w:line="300" w:lineRule="exact"/>
              <w:ind w:firstLine="1260" w:firstLineChars="600"/>
              <w:rPr>
                <w:rFonts w:hint="eastAsia" w:cs="宋体"/>
                <w:bCs/>
                <w:color w:val="auto"/>
                <w:szCs w:val="21"/>
                <w:highlight w:val="none"/>
              </w:rPr>
            </w:pPr>
            <w:r>
              <w:rPr>
                <w:rFonts w:hint="eastAsia" w:cs="宋体"/>
                <w:bCs/>
                <w:color w:val="auto"/>
                <w:szCs w:val="21"/>
                <w:highlight w:val="none"/>
              </w:rPr>
              <w:t>备注</w:t>
            </w:r>
          </w:p>
        </w:tc>
      </w:tr>
      <w:tr w14:paraId="19CECE92">
        <w:tblPrEx>
          <w:tblCellMar>
            <w:top w:w="0" w:type="dxa"/>
            <w:left w:w="108" w:type="dxa"/>
            <w:bottom w:w="0" w:type="dxa"/>
            <w:right w:w="108" w:type="dxa"/>
          </w:tblCellMar>
        </w:tblPrEx>
        <w:trPr>
          <w:trHeight w:val="590" w:hRule="atLeast"/>
        </w:trPr>
        <w:tc>
          <w:tcPr>
            <w:tcW w:w="658" w:type="pct"/>
            <w:vMerge w:val="restart"/>
            <w:tcBorders>
              <w:top w:val="single" w:color="auto" w:sz="4" w:space="0"/>
              <w:left w:val="single" w:color="auto" w:sz="4" w:space="0"/>
              <w:bottom w:val="single" w:color="auto" w:sz="4" w:space="0"/>
              <w:right w:val="single" w:color="auto" w:sz="4" w:space="0"/>
            </w:tcBorders>
            <w:noWrap w:val="0"/>
            <w:vAlign w:val="center"/>
          </w:tcPr>
          <w:p w14:paraId="29085794">
            <w:pPr>
              <w:spacing w:line="300" w:lineRule="exact"/>
              <w:jc w:val="center"/>
              <w:rPr>
                <w:rFonts w:cs="宋体"/>
                <w:bCs/>
                <w:color w:val="auto"/>
                <w:szCs w:val="21"/>
                <w:highlight w:val="none"/>
              </w:rPr>
            </w:pPr>
            <w:r>
              <w:rPr>
                <w:rFonts w:hint="eastAsia" w:cs="宋体"/>
                <w:bCs/>
                <w:color w:val="auto"/>
                <w:szCs w:val="21"/>
                <w:highlight w:val="none"/>
              </w:rPr>
              <w:t>包件1</w:t>
            </w:r>
          </w:p>
        </w:tc>
        <w:tc>
          <w:tcPr>
            <w:tcW w:w="911" w:type="pct"/>
            <w:tcBorders>
              <w:top w:val="single" w:color="auto" w:sz="4" w:space="0"/>
              <w:left w:val="single" w:color="auto" w:sz="4" w:space="0"/>
              <w:bottom w:val="single" w:color="auto" w:sz="4" w:space="0"/>
              <w:right w:val="single" w:color="auto" w:sz="4" w:space="0"/>
            </w:tcBorders>
            <w:noWrap w:val="0"/>
            <w:vAlign w:val="center"/>
          </w:tcPr>
          <w:p w14:paraId="79BE0FFB">
            <w:pPr>
              <w:spacing w:line="300" w:lineRule="exact"/>
              <w:jc w:val="center"/>
              <w:rPr>
                <w:rFonts w:hint="eastAsia" w:cs="宋体"/>
                <w:bCs/>
                <w:color w:val="auto"/>
                <w:szCs w:val="21"/>
                <w:highlight w:val="none"/>
              </w:rPr>
            </w:pPr>
            <w:r>
              <w:rPr>
                <w:rFonts w:hint="eastAsia" w:cs="宋体"/>
                <w:bCs/>
                <w:color w:val="auto"/>
                <w:szCs w:val="21"/>
                <w:highlight w:val="none"/>
              </w:rPr>
              <w:t>进口基质沥青</w:t>
            </w:r>
          </w:p>
        </w:tc>
        <w:tc>
          <w:tcPr>
            <w:tcW w:w="770" w:type="pct"/>
            <w:tcBorders>
              <w:top w:val="single" w:color="auto" w:sz="4" w:space="0"/>
              <w:left w:val="single" w:color="auto" w:sz="4" w:space="0"/>
              <w:bottom w:val="single" w:color="auto" w:sz="4" w:space="0"/>
              <w:right w:val="single" w:color="auto" w:sz="4" w:space="0"/>
            </w:tcBorders>
            <w:noWrap w:val="0"/>
            <w:vAlign w:val="center"/>
          </w:tcPr>
          <w:p w14:paraId="3BA861B3">
            <w:pPr>
              <w:spacing w:line="300" w:lineRule="exact"/>
              <w:jc w:val="center"/>
              <w:rPr>
                <w:rFonts w:hint="eastAsia" w:cs="宋体"/>
                <w:bCs/>
                <w:color w:val="auto"/>
                <w:szCs w:val="21"/>
                <w:highlight w:val="none"/>
              </w:rPr>
            </w:pPr>
            <w:r>
              <w:rPr>
                <w:rFonts w:hint="eastAsia" w:cs="宋体"/>
                <w:bCs/>
                <w:color w:val="auto"/>
                <w:szCs w:val="21"/>
                <w:highlight w:val="none"/>
              </w:rPr>
              <w:t>70#A级</w:t>
            </w:r>
          </w:p>
        </w:tc>
        <w:tc>
          <w:tcPr>
            <w:tcW w:w="833" w:type="pct"/>
            <w:vMerge w:val="restart"/>
            <w:tcBorders>
              <w:top w:val="single" w:color="auto" w:sz="4" w:space="0"/>
              <w:left w:val="single" w:color="auto" w:sz="4" w:space="0"/>
              <w:bottom w:val="single" w:color="auto" w:sz="4" w:space="0"/>
              <w:right w:val="single" w:color="auto" w:sz="4" w:space="0"/>
            </w:tcBorders>
            <w:noWrap w:val="0"/>
            <w:vAlign w:val="center"/>
          </w:tcPr>
          <w:p w14:paraId="45A35235">
            <w:pPr>
              <w:spacing w:line="300" w:lineRule="exact"/>
              <w:jc w:val="center"/>
              <w:rPr>
                <w:rFonts w:cs="宋体"/>
                <w:bCs/>
                <w:color w:val="auto"/>
                <w:szCs w:val="21"/>
                <w:highlight w:val="none"/>
              </w:rPr>
            </w:pPr>
            <w:r>
              <w:rPr>
                <w:rFonts w:hint="eastAsia" w:cs="宋体"/>
                <w:bCs/>
                <w:color w:val="auto"/>
                <w:szCs w:val="21"/>
                <w:highlight w:val="none"/>
              </w:rPr>
              <w:t>3家及以上</w:t>
            </w:r>
          </w:p>
        </w:tc>
        <w:tc>
          <w:tcPr>
            <w:tcW w:w="1825" w:type="pct"/>
            <w:tcBorders>
              <w:top w:val="single" w:color="auto" w:sz="4" w:space="0"/>
              <w:left w:val="single" w:color="auto" w:sz="4" w:space="0"/>
              <w:bottom w:val="single" w:color="auto" w:sz="4" w:space="0"/>
              <w:right w:val="single" w:color="auto" w:sz="4" w:space="0"/>
            </w:tcBorders>
            <w:noWrap w:val="0"/>
            <w:vAlign w:val="center"/>
          </w:tcPr>
          <w:p w14:paraId="4C41CE0D">
            <w:pPr>
              <w:spacing w:line="300" w:lineRule="exact"/>
              <w:jc w:val="center"/>
              <w:rPr>
                <w:rFonts w:cs="宋体"/>
                <w:bCs/>
                <w:color w:val="auto"/>
                <w:szCs w:val="21"/>
                <w:highlight w:val="none"/>
              </w:rPr>
            </w:pPr>
            <w:r>
              <w:rPr>
                <w:rFonts w:hint="eastAsia" w:cs="宋体"/>
                <w:bCs/>
                <w:color w:val="auto"/>
                <w:szCs w:val="21"/>
                <w:highlight w:val="none"/>
              </w:rPr>
              <w:t>高速公路专用。</w:t>
            </w:r>
          </w:p>
        </w:tc>
      </w:tr>
      <w:tr w14:paraId="44065DCD">
        <w:tblPrEx>
          <w:tblCellMar>
            <w:top w:w="0" w:type="dxa"/>
            <w:left w:w="108" w:type="dxa"/>
            <w:bottom w:w="0" w:type="dxa"/>
            <w:right w:w="108" w:type="dxa"/>
          </w:tblCellMar>
        </w:tblPrEx>
        <w:trPr>
          <w:trHeight w:val="590" w:hRule="atLeast"/>
        </w:trPr>
        <w:tc>
          <w:tcPr>
            <w:tcW w:w="658" w:type="pct"/>
            <w:vMerge w:val="continue"/>
            <w:tcBorders>
              <w:top w:val="single" w:color="auto" w:sz="4" w:space="0"/>
              <w:left w:val="single" w:color="auto" w:sz="4" w:space="0"/>
              <w:bottom w:val="single" w:color="auto" w:sz="4" w:space="0"/>
              <w:right w:val="single" w:color="auto" w:sz="4" w:space="0"/>
            </w:tcBorders>
            <w:noWrap w:val="0"/>
            <w:vAlign w:val="center"/>
          </w:tcPr>
          <w:p w14:paraId="7DECDAA5">
            <w:pPr>
              <w:spacing w:line="300" w:lineRule="exact"/>
              <w:ind w:firstLine="420" w:firstLineChars="200"/>
              <w:jc w:val="center"/>
              <w:rPr>
                <w:rFonts w:hint="eastAsia" w:cs="宋体"/>
                <w:bCs/>
                <w:color w:val="auto"/>
                <w:szCs w:val="21"/>
                <w:highlight w:val="none"/>
              </w:rPr>
            </w:pPr>
          </w:p>
        </w:tc>
        <w:tc>
          <w:tcPr>
            <w:tcW w:w="911" w:type="pct"/>
            <w:tcBorders>
              <w:top w:val="single" w:color="auto" w:sz="4" w:space="0"/>
              <w:left w:val="single" w:color="auto" w:sz="4" w:space="0"/>
              <w:bottom w:val="single" w:color="auto" w:sz="4" w:space="0"/>
              <w:right w:val="single" w:color="auto" w:sz="4" w:space="0"/>
            </w:tcBorders>
            <w:noWrap w:val="0"/>
            <w:vAlign w:val="center"/>
          </w:tcPr>
          <w:p w14:paraId="2FBA6960">
            <w:pPr>
              <w:spacing w:line="300" w:lineRule="exact"/>
              <w:jc w:val="center"/>
              <w:rPr>
                <w:rFonts w:hint="eastAsia" w:cs="宋体"/>
                <w:bCs/>
                <w:color w:val="auto"/>
                <w:szCs w:val="21"/>
                <w:highlight w:val="none"/>
              </w:rPr>
            </w:pPr>
            <w:r>
              <w:rPr>
                <w:rFonts w:hint="eastAsia" w:cs="宋体"/>
                <w:bCs/>
                <w:color w:val="auto"/>
                <w:szCs w:val="21"/>
                <w:highlight w:val="none"/>
              </w:rPr>
              <w:t>进口改性沥青</w:t>
            </w:r>
          </w:p>
        </w:tc>
        <w:tc>
          <w:tcPr>
            <w:tcW w:w="770" w:type="pct"/>
            <w:tcBorders>
              <w:top w:val="single" w:color="auto" w:sz="4" w:space="0"/>
              <w:left w:val="single" w:color="auto" w:sz="4" w:space="0"/>
              <w:bottom w:val="single" w:color="auto" w:sz="4" w:space="0"/>
              <w:right w:val="single" w:color="auto" w:sz="4" w:space="0"/>
            </w:tcBorders>
            <w:noWrap w:val="0"/>
            <w:vAlign w:val="center"/>
          </w:tcPr>
          <w:p w14:paraId="7A53BC2A">
            <w:pPr>
              <w:spacing w:line="300" w:lineRule="exact"/>
              <w:jc w:val="center"/>
              <w:rPr>
                <w:rFonts w:hint="eastAsia" w:cs="宋体"/>
                <w:bCs/>
                <w:color w:val="auto"/>
                <w:szCs w:val="21"/>
                <w:highlight w:val="none"/>
              </w:rPr>
            </w:pPr>
            <w:r>
              <w:rPr>
                <w:rFonts w:hint="eastAsia" w:cs="宋体"/>
                <w:bCs/>
                <w:color w:val="auto"/>
                <w:szCs w:val="21"/>
                <w:highlight w:val="none"/>
              </w:rPr>
              <w:t>SBS改性</w:t>
            </w:r>
          </w:p>
        </w:tc>
        <w:tc>
          <w:tcPr>
            <w:tcW w:w="833" w:type="pct"/>
            <w:vMerge w:val="continue"/>
            <w:tcBorders>
              <w:top w:val="single" w:color="auto" w:sz="4" w:space="0"/>
              <w:left w:val="single" w:color="auto" w:sz="4" w:space="0"/>
              <w:bottom w:val="single" w:color="auto" w:sz="4" w:space="0"/>
              <w:right w:val="single" w:color="auto" w:sz="4" w:space="0"/>
            </w:tcBorders>
            <w:noWrap w:val="0"/>
            <w:vAlign w:val="center"/>
          </w:tcPr>
          <w:p w14:paraId="0352CEF0">
            <w:pPr>
              <w:spacing w:line="300" w:lineRule="exact"/>
              <w:ind w:firstLine="420" w:firstLineChars="200"/>
              <w:jc w:val="center"/>
              <w:rPr>
                <w:rFonts w:hint="eastAsia" w:cs="宋体"/>
                <w:bCs/>
                <w:color w:val="auto"/>
                <w:szCs w:val="21"/>
                <w:highlight w:val="none"/>
              </w:rPr>
            </w:pPr>
          </w:p>
        </w:tc>
        <w:tc>
          <w:tcPr>
            <w:tcW w:w="1825" w:type="pct"/>
            <w:tcBorders>
              <w:top w:val="single" w:color="auto" w:sz="4" w:space="0"/>
              <w:left w:val="single" w:color="auto" w:sz="4" w:space="0"/>
              <w:bottom w:val="single" w:color="auto" w:sz="4" w:space="0"/>
              <w:right w:val="single" w:color="auto" w:sz="4" w:space="0"/>
            </w:tcBorders>
            <w:noWrap w:val="0"/>
            <w:vAlign w:val="center"/>
          </w:tcPr>
          <w:p w14:paraId="61BF40D1">
            <w:pPr>
              <w:spacing w:line="300" w:lineRule="exact"/>
              <w:jc w:val="center"/>
              <w:rPr>
                <w:rFonts w:hint="eastAsia" w:cs="宋体"/>
                <w:bCs/>
                <w:color w:val="auto"/>
                <w:szCs w:val="21"/>
                <w:highlight w:val="none"/>
              </w:rPr>
            </w:pPr>
            <w:r>
              <w:rPr>
                <w:rFonts w:hint="eastAsia" w:cs="宋体"/>
                <w:bCs/>
                <w:color w:val="auto"/>
                <w:szCs w:val="21"/>
                <w:highlight w:val="none"/>
              </w:rPr>
              <w:t>高速公路专用，自有或租赁生产线加工。</w:t>
            </w:r>
          </w:p>
        </w:tc>
      </w:tr>
      <w:tr w14:paraId="25EBFD6D">
        <w:tblPrEx>
          <w:tblCellMar>
            <w:top w:w="0" w:type="dxa"/>
            <w:left w:w="108" w:type="dxa"/>
            <w:bottom w:w="0" w:type="dxa"/>
            <w:right w:w="108" w:type="dxa"/>
          </w:tblCellMar>
        </w:tblPrEx>
        <w:trPr>
          <w:trHeight w:val="590" w:hRule="atLeast"/>
        </w:trPr>
        <w:tc>
          <w:tcPr>
            <w:tcW w:w="658" w:type="pct"/>
            <w:vMerge w:val="restart"/>
            <w:tcBorders>
              <w:top w:val="single" w:color="auto" w:sz="4" w:space="0"/>
              <w:left w:val="single" w:color="auto" w:sz="4" w:space="0"/>
              <w:bottom w:val="single" w:color="auto" w:sz="4" w:space="0"/>
              <w:right w:val="single" w:color="auto" w:sz="4" w:space="0"/>
            </w:tcBorders>
            <w:noWrap w:val="0"/>
            <w:vAlign w:val="center"/>
          </w:tcPr>
          <w:p w14:paraId="729F3CFF">
            <w:pPr>
              <w:spacing w:line="300" w:lineRule="exact"/>
              <w:jc w:val="center"/>
              <w:rPr>
                <w:rFonts w:hint="eastAsia" w:cs="宋体"/>
                <w:bCs/>
                <w:color w:val="auto"/>
                <w:szCs w:val="21"/>
                <w:highlight w:val="none"/>
              </w:rPr>
            </w:pPr>
            <w:r>
              <w:rPr>
                <w:rFonts w:hint="eastAsia" w:cs="宋体"/>
                <w:bCs/>
                <w:color w:val="auto"/>
                <w:szCs w:val="21"/>
                <w:highlight w:val="none"/>
              </w:rPr>
              <w:t>包件2</w:t>
            </w:r>
          </w:p>
        </w:tc>
        <w:tc>
          <w:tcPr>
            <w:tcW w:w="911" w:type="pct"/>
            <w:tcBorders>
              <w:top w:val="single" w:color="auto" w:sz="4" w:space="0"/>
              <w:left w:val="single" w:color="auto" w:sz="4" w:space="0"/>
              <w:bottom w:val="single" w:color="auto" w:sz="4" w:space="0"/>
              <w:right w:val="single" w:color="auto" w:sz="4" w:space="0"/>
            </w:tcBorders>
            <w:noWrap w:val="0"/>
            <w:vAlign w:val="center"/>
          </w:tcPr>
          <w:p w14:paraId="75347311">
            <w:pPr>
              <w:spacing w:line="300" w:lineRule="exact"/>
              <w:jc w:val="center"/>
              <w:rPr>
                <w:rFonts w:hint="eastAsia" w:cs="宋体"/>
                <w:bCs/>
                <w:color w:val="auto"/>
                <w:szCs w:val="21"/>
                <w:highlight w:val="none"/>
              </w:rPr>
            </w:pPr>
            <w:r>
              <w:rPr>
                <w:rFonts w:hint="eastAsia" w:cs="宋体"/>
                <w:bCs/>
                <w:color w:val="auto"/>
                <w:szCs w:val="21"/>
                <w:highlight w:val="none"/>
              </w:rPr>
              <w:t>国产基质沥青</w:t>
            </w:r>
          </w:p>
        </w:tc>
        <w:tc>
          <w:tcPr>
            <w:tcW w:w="770" w:type="pct"/>
            <w:tcBorders>
              <w:top w:val="single" w:color="auto" w:sz="4" w:space="0"/>
              <w:left w:val="single" w:color="auto" w:sz="4" w:space="0"/>
              <w:bottom w:val="single" w:color="auto" w:sz="4" w:space="0"/>
              <w:right w:val="single" w:color="auto" w:sz="4" w:space="0"/>
            </w:tcBorders>
            <w:noWrap w:val="0"/>
            <w:vAlign w:val="center"/>
          </w:tcPr>
          <w:p w14:paraId="728DC8E4">
            <w:pPr>
              <w:spacing w:line="300" w:lineRule="exact"/>
              <w:jc w:val="center"/>
              <w:rPr>
                <w:rFonts w:hint="eastAsia" w:cs="宋体"/>
                <w:bCs/>
                <w:color w:val="auto"/>
                <w:szCs w:val="21"/>
                <w:highlight w:val="none"/>
              </w:rPr>
            </w:pPr>
            <w:r>
              <w:rPr>
                <w:rFonts w:hint="eastAsia" w:cs="宋体"/>
                <w:bCs/>
                <w:color w:val="auto"/>
                <w:szCs w:val="21"/>
                <w:highlight w:val="none"/>
              </w:rPr>
              <w:t>70#A级</w:t>
            </w:r>
          </w:p>
        </w:tc>
        <w:tc>
          <w:tcPr>
            <w:tcW w:w="833" w:type="pct"/>
            <w:vMerge w:val="restart"/>
            <w:tcBorders>
              <w:top w:val="single" w:color="auto" w:sz="4" w:space="0"/>
              <w:left w:val="single" w:color="auto" w:sz="4" w:space="0"/>
              <w:bottom w:val="single" w:color="auto" w:sz="4" w:space="0"/>
              <w:right w:val="single" w:color="auto" w:sz="4" w:space="0"/>
            </w:tcBorders>
            <w:noWrap w:val="0"/>
            <w:vAlign w:val="center"/>
          </w:tcPr>
          <w:p w14:paraId="7C96BD8D">
            <w:pPr>
              <w:spacing w:line="300" w:lineRule="exact"/>
              <w:jc w:val="center"/>
              <w:rPr>
                <w:rFonts w:cs="宋体"/>
                <w:bCs/>
                <w:color w:val="auto"/>
                <w:szCs w:val="21"/>
                <w:highlight w:val="none"/>
              </w:rPr>
            </w:pPr>
            <w:r>
              <w:rPr>
                <w:rFonts w:hint="eastAsia" w:cs="宋体"/>
                <w:bCs/>
                <w:color w:val="auto"/>
                <w:szCs w:val="21"/>
                <w:highlight w:val="none"/>
              </w:rPr>
              <w:t>3家及以上</w:t>
            </w:r>
          </w:p>
        </w:tc>
        <w:tc>
          <w:tcPr>
            <w:tcW w:w="1825" w:type="pct"/>
            <w:tcBorders>
              <w:top w:val="single" w:color="auto" w:sz="4" w:space="0"/>
              <w:left w:val="single" w:color="auto" w:sz="4" w:space="0"/>
              <w:bottom w:val="single" w:color="auto" w:sz="4" w:space="0"/>
              <w:right w:val="single" w:color="auto" w:sz="4" w:space="0"/>
            </w:tcBorders>
            <w:noWrap w:val="0"/>
            <w:vAlign w:val="center"/>
          </w:tcPr>
          <w:p w14:paraId="5A4FBF69">
            <w:pPr>
              <w:spacing w:line="300" w:lineRule="exact"/>
              <w:jc w:val="center"/>
              <w:rPr>
                <w:rFonts w:hint="eastAsia" w:cs="宋体"/>
                <w:bCs/>
                <w:color w:val="auto"/>
                <w:szCs w:val="21"/>
                <w:highlight w:val="none"/>
              </w:rPr>
            </w:pPr>
            <w:r>
              <w:rPr>
                <w:rFonts w:hint="eastAsia" w:cs="宋体"/>
                <w:bCs/>
                <w:color w:val="auto"/>
                <w:szCs w:val="21"/>
                <w:highlight w:val="none"/>
              </w:rPr>
              <w:t>国产优质品牌。</w:t>
            </w:r>
          </w:p>
        </w:tc>
      </w:tr>
      <w:tr w14:paraId="0C37C580">
        <w:tblPrEx>
          <w:tblCellMar>
            <w:top w:w="0" w:type="dxa"/>
            <w:left w:w="108" w:type="dxa"/>
            <w:bottom w:w="0" w:type="dxa"/>
            <w:right w:w="108" w:type="dxa"/>
          </w:tblCellMar>
        </w:tblPrEx>
        <w:trPr>
          <w:trHeight w:val="590" w:hRule="atLeast"/>
        </w:trPr>
        <w:tc>
          <w:tcPr>
            <w:tcW w:w="658" w:type="pct"/>
            <w:vMerge w:val="continue"/>
            <w:tcBorders>
              <w:top w:val="single" w:color="auto" w:sz="4" w:space="0"/>
              <w:left w:val="single" w:color="auto" w:sz="4" w:space="0"/>
              <w:bottom w:val="single" w:color="auto" w:sz="4" w:space="0"/>
              <w:right w:val="single" w:color="auto" w:sz="4" w:space="0"/>
            </w:tcBorders>
            <w:noWrap w:val="0"/>
            <w:vAlign w:val="center"/>
          </w:tcPr>
          <w:p w14:paraId="61BF548B">
            <w:pPr>
              <w:spacing w:line="300" w:lineRule="exact"/>
              <w:ind w:firstLine="420" w:firstLineChars="200"/>
              <w:jc w:val="center"/>
              <w:rPr>
                <w:rFonts w:hint="eastAsia" w:cs="宋体"/>
                <w:bCs/>
                <w:color w:val="auto"/>
                <w:szCs w:val="21"/>
                <w:highlight w:val="none"/>
              </w:rPr>
            </w:pPr>
          </w:p>
        </w:tc>
        <w:tc>
          <w:tcPr>
            <w:tcW w:w="911" w:type="pct"/>
            <w:tcBorders>
              <w:top w:val="single" w:color="auto" w:sz="4" w:space="0"/>
              <w:left w:val="single" w:color="auto" w:sz="4" w:space="0"/>
              <w:bottom w:val="single" w:color="auto" w:sz="4" w:space="0"/>
              <w:right w:val="single" w:color="auto" w:sz="4" w:space="0"/>
            </w:tcBorders>
            <w:noWrap w:val="0"/>
            <w:vAlign w:val="center"/>
          </w:tcPr>
          <w:p w14:paraId="527B0F7E">
            <w:pPr>
              <w:spacing w:line="300" w:lineRule="exact"/>
              <w:jc w:val="center"/>
              <w:rPr>
                <w:rFonts w:hint="eastAsia" w:cs="宋体"/>
                <w:bCs/>
                <w:color w:val="auto"/>
                <w:szCs w:val="21"/>
                <w:highlight w:val="none"/>
              </w:rPr>
            </w:pPr>
            <w:r>
              <w:rPr>
                <w:rFonts w:hint="eastAsia" w:cs="宋体"/>
                <w:bCs/>
                <w:color w:val="auto"/>
                <w:szCs w:val="21"/>
                <w:highlight w:val="none"/>
              </w:rPr>
              <w:t>国产改性沥青</w:t>
            </w:r>
          </w:p>
        </w:tc>
        <w:tc>
          <w:tcPr>
            <w:tcW w:w="770" w:type="pct"/>
            <w:tcBorders>
              <w:top w:val="single" w:color="auto" w:sz="4" w:space="0"/>
              <w:left w:val="single" w:color="auto" w:sz="4" w:space="0"/>
              <w:bottom w:val="single" w:color="auto" w:sz="4" w:space="0"/>
              <w:right w:val="single" w:color="auto" w:sz="4" w:space="0"/>
            </w:tcBorders>
            <w:noWrap w:val="0"/>
            <w:vAlign w:val="center"/>
          </w:tcPr>
          <w:p w14:paraId="54751A9C">
            <w:pPr>
              <w:spacing w:line="300" w:lineRule="exact"/>
              <w:jc w:val="center"/>
              <w:rPr>
                <w:rFonts w:hint="eastAsia" w:cs="宋体"/>
                <w:bCs/>
                <w:color w:val="auto"/>
                <w:szCs w:val="21"/>
                <w:highlight w:val="none"/>
              </w:rPr>
            </w:pPr>
            <w:r>
              <w:rPr>
                <w:rFonts w:hint="eastAsia" w:cs="宋体"/>
                <w:bCs/>
                <w:color w:val="auto"/>
                <w:szCs w:val="21"/>
                <w:highlight w:val="none"/>
              </w:rPr>
              <w:t>SBS改性</w:t>
            </w:r>
          </w:p>
        </w:tc>
        <w:tc>
          <w:tcPr>
            <w:tcW w:w="833" w:type="pct"/>
            <w:vMerge w:val="continue"/>
            <w:tcBorders>
              <w:top w:val="single" w:color="auto" w:sz="4" w:space="0"/>
              <w:left w:val="single" w:color="auto" w:sz="4" w:space="0"/>
              <w:bottom w:val="single" w:color="auto" w:sz="4" w:space="0"/>
              <w:right w:val="single" w:color="auto" w:sz="4" w:space="0"/>
            </w:tcBorders>
            <w:noWrap w:val="0"/>
            <w:vAlign w:val="center"/>
          </w:tcPr>
          <w:p w14:paraId="4783BEBC">
            <w:pPr>
              <w:spacing w:line="300" w:lineRule="exact"/>
              <w:ind w:firstLine="420" w:firstLineChars="200"/>
              <w:jc w:val="center"/>
              <w:rPr>
                <w:rFonts w:hint="eastAsia" w:cs="宋体"/>
                <w:bCs/>
                <w:color w:val="auto"/>
                <w:szCs w:val="21"/>
                <w:highlight w:val="none"/>
              </w:rPr>
            </w:pPr>
          </w:p>
        </w:tc>
        <w:tc>
          <w:tcPr>
            <w:tcW w:w="1825" w:type="pct"/>
            <w:tcBorders>
              <w:top w:val="single" w:color="auto" w:sz="4" w:space="0"/>
              <w:left w:val="single" w:color="auto" w:sz="4" w:space="0"/>
              <w:bottom w:val="single" w:color="auto" w:sz="4" w:space="0"/>
              <w:right w:val="single" w:color="auto" w:sz="4" w:space="0"/>
            </w:tcBorders>
            <w:noWrap w:val="0"/>
            <w:vAlign w:val="center"/>
          </w:tcPr>
          <w:p w14:paraId="36A549AE">
            <w:pPr>
              <w:spacing w:line="300" w:lineRule="exact"/>
              <w:jc w:val="center"/>
              <w:rPr>
                <w:rFonts w:cs="宋体"/>
                <w:bCs/>
                <w:color w:val="auto"/>
                <w:szCs w:val="21"/>
                <w:highlight w:val="none"/>
              </w:rPr>
            </w:pPr>
            <w:r>
              <w:rPr>
                <w:rFonts w:hint="eastAsia" w:cs="宋体"/>
                <w:bCs/>
                <w:color w:val="auto"/>
                <w:szCs w:val="21"/>
                <w:highlight w:val="none"/>
              </w:rPr>
              <w:t>基质沥青国产优质品牌。自有或租赁生产线加工</w:t>
            </w:r>
          </w:p>
        </w:tc>
      </w:tr>
      <w:tr w14:paraId="5C84ED36">
        <w:tblPrEx>
          <w:tblCellMar>
            <w:top w:w="0" w:type="dxa"/>
            <w:left w:w="108" w:type="dxa"/>
            <w:bottom w:w="0" w:type="dxa"/>
            <w:right w:w="108" w:type="dxa"/>
          </w:tblCellMar>
        </w:tblPrEx>
        <w:trPr>
          <w:trHeight w:val="590" w:hRule="atLeast"/>
        </w:trPr>
        <w:tc>
          <w:tcPr>
            <w:tcW w:w="658" w:type="pct"/>
            <w:tcBorders>
              <w:top w:val="single" w:color="auto" w:sz="4" w:space="0"/>
              <w:left w:val="single" w:color="auto" w:sz="4" w:space="0"/>
              <w:bottom w:val="single" w:color="auto" w:sz="4" w:space="0"/>
              <w:right w:val="single" w:color="auto" w:sz="4" w:space="0"/>
            </w:tcBorders>
            <w:noWrap w:val="0"/>
            <w:vAlign w:val="center"/>
          </w:tcPr>
          <w:p w14:paraId="0056CEE8">
            <w:pPr>
              <w:spacing w:line="300" w:lineRule="exact"/>
              <w:jc w:val="center"/>
              <w:rPr>
                <w:rFonts w:hint="eastAsia" w:cs="宋体"/>
                <w:bCs/>
                <w:color w:val="auto"/>
                <w:szCs w:val="21"/>
                <w:highlight w:val="none"/>
              </w:rPr>
            </w:pPr>
            <w:r>
              <w:rPr>
                <w:rFonts w:hint="eastAsia" w:cs="宋体"/>
                <w:bCs/>
                <w:color w:val="auto"/>
                <w:szCs w:val="21"/>
                <w:highlight w:val="none"/>
              </w:rPr>
              <w:t>包件3</w:t>
            </w:r>
          </w:p>
        </w:tc>
        <w:tc>
          <w:tcPr>
            <w:tcW w:w="911" w:type="pct"/>
            <w:tcBorders>
              <w:top w:val="single" w:color="auto" w:sz="4" w:space="0"/>
              <w:left w:val="single" w:color="auto" w:sz="4" w:space="0"/>
              <w:bottom w:val="single" w:color="auto" w:sz="4" w:space="0"/>
              <w:right w:val="single" w:color="auto" w:sz="4" w:space="0"/>
            </w:tcBorders>
            <w:noWrap w:val="0"/>
            <w:vAlign w:val="center"/>
          </w:tcPr>
          <w:p w14:paraId="61C02AA6">
            <w:pPr>
              <w:spacing w:line="300" w:lineRule="exact"/>
              <w:jc w:val="center"/>
              <w:rPr>
                <w:rFonts w:hint="eastAsia" w:cs="宋体"/>
                <w:bCs/>
                <w:color w:val="auto"/>
                <w:szCs w:val="21"/>
                <w:highlight w:val="none"/>
              </w:rPr>
            </w:pPr>
            <w:r>
              <w:rPr>
                <w:rFonts w:hint="eastAsia" w:cs="宋体"/>
                <w:bCs/>
                <w:color w:val="auto"/>
                <w:szCs w:val="21"/>
                <w:highlight w:val="none"/>
              </w:rPr>
              <w:t>高粘沥青</w:t>
            </w:r>
          </w:p>
        </w:tc>
        <w:tc>
          <w:tcPr>
            <w:tcW w:w="770" w:type="pct"/>
            <w:tcBorders>
              <w:top w:val="single" w:color="auto" w:sz="4" w:space="0"/>
              <w:left w:val="single" w:color="auto" w:sz="4" w:space="0"/>
              <w:bottom w:val="single" w:color="auto" w:sz="4" w:space="0"/>
              <w:right w:val="single" w:color="auto" w:sz="4" w:space="0"/>
            </w:tcBorders>
            <w:noWrap w:val="0"/>
            <w:vAlign w:val="center"/>
          </w:tcPr>
          <w:p w14:paraId="2CF7F6A5">
            <w:pPr>
              <w:spacing w:line="300" w:lineRule="exact"/>
              <w:jc w:val="center"/>
              <w:rPr>
                <w:rFonts w:hint="eastAsia" w:cs="宋体"/>
                <w:bCs/>
                <w:color w:val="auto"/>
                <w:szCs w:val="21"/>
                <w:highlight w:val="none"/>
              </w:rPr>
            </w:pPr>
            <w:r>
              <w:rPr>
                <w:rFonts w:hint="eastAsia" w:cs="宋体"/>
                <w:bCs/>
                <w:color w:val="auto"/>
                <w:szCs w:val="21"/>
                <w:highlight w:val="none"/>
              </w:rPr>
              <w:t>SBS改性</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6499227B">
            <w:pPr>
              <w:spacing w:line="300" w:lineRule="exact"/>
              <w:jc w:val="center"/>
              <w:rPr>
                <w:rFonts w:hint="eastAsia" w:cs="宋体"/>
                <w:bCs/>
                <w:color w:val="auto"/>
                <w:szCs w:val="21"/>
                <w:highlight w:val="none"/>
              </w:rPr>
            </w:pPr>
            <w:r>
              <w:rPr>
                <w:rFonts w:hint="eastAsia" w:cs="宋体"/>
                <w:bCs/>
                <w:color w:val="auto"/>
                <w:szCs w:val="21"/>
                <w:highlight w:val="none"/>
              </w:rPr>
              <w:t>3家及以上</w:t>
            </w:r>
          </w:p>
        </w:tc>
        <w:tc>
          <w:tcPr>
            <w:tcW w:w="1825" w:type="pct"/>
            <w:tcBorders>
              <w:top w:val="single" w:color="auto" w:sz="4" w:space="0"/>
              <w:left w:val="single" w:color="auto" w:sz="4" w:space="0"/>
              <w:bottom w:val="single" w:color="auto" w:sz="4" w:space="0"/>
              <w:right w:val="single" w:color="auto" w:sz="4" w:space="0"/>
            </w:tcBorders>
            <w:noWrap w:val="0"/>
            <w:vAlign w:val="center"/>
          </w:tcPr>
          <w:p w14:paraId="3BF2B001">
            <w:pPr>
              <w:spacing w:line="300" w:lineRule="exact"/>
              <w:jc w:val="center"/>
              <w:rPr>
                <w:rFonts w:cs="宋体"/>
                <w:bCs/>
                <w:color w:val="auto"/>
                <w:szCs w:val="21"/>
                <w:highlight w:val="none"/>
              </w:rPr>
            </w:pPr>
            <w:r>
              <w:rPr>
                <w:rFonts w:hint="eastAsia" w:cs="宋体"/>
                <w:bCs/>
                <w:color w:val="auto"/>
                <w:szCs w:val="21"/>
                <w:highlight w:val="none"/>
              </w:rPr>
              <w:t>排水沥青混凝土专用，</w:t>
            </w:r>
            <w:r>
              <w:rPr>
                <w:rFonts w:hint="eastAsia" w:ascii="宋体" w:hAnsi="宋体" w:cs="宋体"/>
                <w:color w:val="auto"/>
                <w:highlight w:val="none"/>
              </w:rPr>
              <w:t>基质沥青采用进口品牌沥青</w:t>
            </w:r>
          </w:p>
        </w:tc>
      </w:tr>
      <w:tr w14:paraId="0EE312B3">
        <w:tblPrEx>
          <w:tblCellMar>
            <w:top w:w="0" w:type="dxa"/>
            <w:left w:w="108" w:type="dxa"/>
            <w:bottom w:w="0" w:type="dxa"/>
            <w:right w:w="108" w:type="dxa"/>
          </w:tblCellMar>
        </w:tblPrEx>
        <w:trPr>
          <w:trHeight w:val="590" w:hRule="atLeast"/>
        </w:trPr>
        <w:tc>
          <w:tcPr>
            <w:tcW w:w="658" w:type="pct"/>
            <w:tcBorders>
              <w:top w:val="single" w:color="auto" w:sz="4" w:space="0"/>
              <w:left w:val="single" w:color="auto" w:sz="4" w:space="0"/>
              <w:bottom w:val="single" w:color="auto" w:sz="4" w:space="0"/>
              <w:right w:val="single" w:color="auto" w:sz="4" w:space="0"/>
            </w:tcBorders>
            <w:noWrap w:val="0"/>
            <w:vAlign w:val="center"/>
          </w:tcPr>
          <w:p w14:paraId="700C8E9C">
            <w:pPr>
              <w:spacing w:line="300" w:lineRule="exact"/>
              <w:jc w:val="center"/>
              <w:rPr>
                <w:rFonts w:hint="eastAsia" w:cs="宋体"/>
                <w:bCs/>
                <w:color w:val="auto"/>
                <w:szCs w:val="21"/>
                <w:highlight w:val="none"/>
              </w:rPr>
            </w:pPr>
            <w:r>
              <w:rPr>
                <w:rFonts w:hint="eastAsia" w:cs="宋体"/>
                <w:bCs/>
                <w:color w:val="auto"/>
                <w:szCs w:val="21"/>
                <w:highlight w:val="none"/>
              </w:rPr>
              <w:t>包件4</w:t>
            </w:r>
          </w:p>
        </w:tc>
        <w:tc>
          <w:tcPr>
            <w:tcW w:w="911" w:type="pct"/>
            <w:tcBorders>
              <w:top w:val="single" w:color="auto" w:sz="4" w:space="0"/>
              <w:left w:val="single" w:color="auto" w:sz="4" w:space="0"/>
              <w:bottom w:val="single" w:color="auto" w:sz="4" w:space="0"/>
              <w:right w:val="single" w:color="auto" w:sz="4" w:space="0"/>
            </w:tcBorders>
            <w:noWrap w:val="0"/>
            <w:vAlign w:val="center"/>
          </w:tcPr>
          <w:p w14:paraId="6754A465">
            <w:pPr>
              <w:spacing w:line="300" w:lineRule="exact"/>
              <w:jc w:val="center"/>
              <w:rPr>
                <w:rFonts w:hint="eastAsia" w:cs="宋体"/>
                <w:bCs/>
                <w:color w:val="auto"/>
                <w:szCs w:val="21"/>
                <w:highlight w:val="none"/>
              </w:rPr>
            </w:pPr>
            <w:r>
              <w:rPr>
                <w:rFonts w:hint="eastAsia" w:cs="宋体"/>
                <w:bCs/>
                <w:color w:val="auto"/>
                <w:szCs w:val="21"/>
                <w:highlight w:val="none"/>
              </w:rPr>
              <w:t>脱色沥青</w:t>
            </w:r>
          </w:p>
        </w:tc>
        <w:tc>
          <w:tcPr>
            <w:tcW w:w="770" w:type="pct"/>
            <w:tcBorders>
              <w:top w:val="single" w:color="auto" w:sz="4" w:space="0"/>
              <w:left w:val="single" w:color="auto" w:sz="4" w:space="0"/>
              <w:bottom w:val="single" w:color="auto" w:sz="4" w:space="0"/>
              <w:right w:val="single" w:color="auto" w:sz="4" w:space="0"/>
            </w:tcBorders>
            <w:noWrap w:val="0"/>
            <w:vAlign w:val="center"/>
          </w:tcPr>
          <w:p w14:paraId="53483E8C">
            <w:pPr>
              <w:spacing w:line="300" w:lineRule="exact"/>
              <w:jc w:val="center"/>
              <w:rPr>
                <w:rFonts w:hint="eastAsia" w:cs="宋体"/>
                <w:bCs/>
                <w:color w:val="auto"/>
                <w:szCs w:val="21"/>
                <w:highlight w:val="none"/>
              </w:rPr>
            </w:pPr>
          </w:p>
        </w:tc>
        <w:tc>
          <w:tcPr>
            <w:tcW w:w="833" w:type="pct"/>
            <w:tcBorders>
              <w:top w:val="single" w:color="auto" w:sz="4" w:space="0"/>
              <w:left w:val="single" w:color="auto" w:sz="4" w:space="0"/>
              <w:bottom w:val="single" w:color="auto" w:sz="4" w:space="0"/>
              <w:right w:val="single" w:color="auto" w:sz="4" w:space="0"/>
            </w:tcBorders>
            <w:noWrap w:val="0"/>
            <w:vAlign w:val="center"/>
          </w:tcPr>
          <w:p w14:paraId="37F2B0BC">
            <w:pPr>
              <w:spacing w:line="300" w:lineRule="exact"/>
              <w:jc w:val="center"/>
              <w:rPr>
                <w:rFonts w:hint="eastAsia" w:cs="宋体"/>
                <w:bCs/>
                <w:color w:val="auto"/>
                <w:szCs w:val="21"/>
                <w:highlight w:val="none"/>
              </w:rPr>
            </w:pPr>
            <w:r>
              <w:rPr>
                <w:rFonts w:hint="eastAsia" w:cs="宋体"/>
                <w:bCs/>
                <w:color w:val="auto"/>
                <w:szCs w:val="21"/>
                <w:highlight w:val="none"/>
              </w:rPr>
              <w:t>3家及以上</w:t>
            </w:r>
          </w:p>
        </w:tc>
        <w:tc>
          <w:tcPr>
            <w:tcW w:w="1825" w:type="pct"/>
            <w:tcBorders>
              <w:top w:val="single" w:color="auto" w:sz="4" w:space="0"/>
              <w:left w:val="single" w:color="auto" w:sz="4" w:space="0"/>
              <w:bottom w:val="single" w:color="auto" w:sz="4" w:space="0"/>
              <w:right w:val="single" w:color="auto" w:sz="4" w:space="0"/>
            </w:tcBorders>
            <w:noWrap w:val="0"/>
            <w:vAlign w:val="center"/>
          </w:tcPr>
          <w:p w14:paraId="75014657">
            <w:pPr>
              <w:spacing w:line="300" w:lineRule="exact"/>
              <w:jc w:val="center"/>
              <w:rPr>
                <w:rFonts w:cs="宋体"/>
                <w:bCs/>
                <w:color w:val="auto"/>
                <w:szCs w:val="21"/>
                <w:highlight w:val="none"/>
              </w:rPr>
            </w:pPr>
            <w:r>
              <w:rPr>
                <w:rFonts w:hint="eastAsia" w:cs="宋体"/>
                <w:bCs/>
                <w:color w:val="auto"/>
                <w:szCs w:val="21"/>
                <w:highlight w:val="none"/>
              </w:rPr>
              <w:t>彩色沥青混凝土专用</w:t>
            </w:r>
          </w:p>
        </w:tc>
      </w:tr>
    </w:tbl>
    <w:p w14:paraId="24E92706">
      <w:pPr>
        <w:spacing w:line="300" w:lineRule="exact"/>
        <w:ind w:firstLine="420" w:firstLineChars="200"/>
        <w:rPr>
          <w:rFonts w:hint="eastAsia" w:cs="宋体"/>
          <w:bCs/>
          <w:color w:val="auto"/>
          <w:szCs w:val="21"/>
          <w:highlight w:val="none"/>
        </w:rPr>
      </w:pPr>
    </w:p>
    <w:p w14:paraId="3BF64429">
      <w:pPr>
        <w:spacing w:line="360" w:lineRule="auto"/>
        <w:ind w:firstLine="420" w:firstLineChars="200"/>
        <w:rPr>
          <w:rFonts w:hint="eastAsia" w:cs="宋体"/>
          <w:color w:val="auto"/>
          <w:szCs w:val="21"/>
          <w:highlight w:val="none"/>
        </w:rPr>
      </w:pPr>
      <w:r>
        <w:rPr>
          <w:rFonts w:hint="eastAsia" w:cs="宋体"/>
          <w:bCs/>
          <w:color w:val="auto"/>
          <w:szCs w:val="21"/>
          <w:highlight w:val="none"/>
        </w:rPr>
        <w:t>注：</w:t>
      </w:r>
      <w:r>
        <w:rPr>
          <w:rFonts w:hint="eastAsia" w:cs="宋体"/>
          <w:color w:val="auto"/>
          <w:szCs w:val="21"/>
          <w:highlight w:val="none"/>
        </w:rPr>
        <w:t>（1）交货时间：年度框架协议有效期内公司签订的合同项目施工周期内，材料合同签订之日起至项目施工结束（可超框架协议期）。</w:t>
      </w:r>
    </w:p>
    <w:p w14:paraId="2EB17D0D">
      <w:pPr>
        <w:spacing w:line="360" w:lineRule="auto"/>
        <w:ind w:firstLine="420" w:firstLineChars="200"/>
        <w:rPr>
          <w:rFonts w:hint="eastAsia" w:cs="宋体"/>
          <w:color w:val="auto"/>
          <w:szCs w:val="21"/>
          <w:highlight w:val="none"/>
        </w:rPr>
      </w:pPr>
      <w:r>
        <w:rPr>
          <w:rFonts w:hint="eastAsia" w:cs="宋体"/>
          <w:color w:val="auto"/>
          <w:szCs w:val="21"/>
          <w:highlight w:val="none"/>
        </w:rPr>
        <w:t>（2）交货地点：浙江省嘉兴市嘉兴港区赵亭路68号。</w:t>
      </w:r>
    </w:p>
    <w:p w14:paraId="08B998FF">
      <w:pPr>
        <w:spacing w:line="360" w:lineRule="auto"/>
        <w:ind w:firstLine="420" w:firstLineChars="200"/>
        <w:rPr>
          <w:rFonts w:hint="eastAsia" w:cs="宋体"/>
          <w:color w:val="auto"/>
          <w:szCs w:val="21"/>
          <w:highlight w:val="none"/>
        </w:rPr>
      </w:pPr>
      <w:r>
        <w:rPr>
          <w:rFonts w:hint="eastAsia" w:cs="宋体"/>
          <w:color w:val="auto"/>
          <w:szCs w:val="21"/>
          <w:highlight w:val="none"/>
        </w:rPr>
        <w:t>（3）期间供货数量由招标人根据实际承接的项目而定，不封顶，不保底。</w:t>
      </w:r>
    </w:p>
    <w:p w14:paraId="6E8B4DE6">
      <w:pPr>
        <w:spacing w:line="360" w:lineRule="auto"/>
        <w:ind w:firstLine="420" w:firstLineChars="200"/>
        <w:rPr>
          <w:rFonts w:hint="eastAsia" w:cs="宋体"/>
          <w:bCs/>
          <w:color w:val="auto"/>
          <w:szCs w:val="21"/>
          <w:highlight w:val="none"/>
        </w:rPr>
      </w:pPr>
      <w:r>
        <w:rPr>
          <w:rFonts w:hint="eastAsia" w:cs="宋体"/>
          <w:bCs/>
          <w:color w:val="auto"/>
          <w:szCs w:val="21"/>
          <w:highlight w:val="none"/>
        </w:rPr>
        <w:t>2.4框架协议服务期：</w:t>
      </w:r>
    </w:p>
    <w:p w14:paraId="46328479">
      <w:pPr>
        <w:numPr>
          <w:ilvl w:val="0"/>
          <w:numId w:val="1"/>
        </w:numPr>
        <w:spacing w:line="360" w:lineRule="auto"/>
        <w:ind w:firstLine="420" w:firstLineChars="200"/>
        <w:rPr>
          <w:rFonts w:hint="eastAsia" w:cs="宋体"/>
          <w:bCs/>
          <w:color w:val="auto"/>
          <w:szCs w:val="21"/>
          <w:highlight w:val="none"/>
        </w:rPr>
      </w:pPr>
      <w:r>
        <w:rPr>
          <w:rFonts w:hint="eastAsia" w:cs="宋体"/>
          <w:bCs/>
          <w:color w:val="auto"/>
          <w:szCs w:val="21"/>
          <w:highlight w:val="none"/>
        </w:rPr>
        <w:t>自框架协议签订之日起至 2025 年 12 月 31 日，并根据合同履行考核等进行动态调整框架协议中标后的供应商（具体单项服务的供货时间以另行签订的供货为准）。</w:t>
      </w:r>
    </w:p>
    <w:p w14:paraId="019FAB1B">
      <w:pPr>
        <w:numPr>
          <w:ilvl w:val="0"/>
          <w:numId w:val="1"/>
        </w:numPr>
        <w:spacing w:line="360" w:lineRule="auto"/>
        <w:ind w:firstLine="420"/>
        <w:rPr>
          <w:rFonts w:hint="eastAsia" w:cs="宋体"/>
          <w:bCs/>
          <w:color w:val="auto"/>
          <w:szCs w:val="21"/>
          <w:highlight w:val="none"/>
        </w:rPr>
      </w:pPr>
      <w:r>
        <w:rPr>
          <w:rFonts w:hint="eastAsia" w:cs="宋体"/>
          <w:bCs/>
          <w:color w:val="auto"/>
          <w:szCs w:val="21"/>
          <w:highlight w:val="none"/>
        </w:rPr>
        <w:t>招标人对年度进入框架协议的供应商考核评价为优秀的供应商经公司审批后进入下一周期的框架协议，评价为差的供应商经公司审批2年以内不得参与后续招标采购。</w:t>
      </w:r>
    </w:p>
    <w:p w14:paraId="7ECB95A7">
      <w:pPr>
        <w:numPr>
          <w:ilvl w:val="0"/>
          <w:numId w:val="1"/>
        </w:numPr>
        <w:spacing w:line="360" w:lineRule="auto"/>
        <w:ind w:firstLine="420"/>
        <w:rPr>
          <w:rFonts w:hint="eastAsia" w:cs="宋体"/>
          <w:bCs/>
          <w:color w:val="auto"/>
          <w:szCs w:val="21"/>
          <w:highlight w:val="none"/>
        </w:rPr>
      </w:pPr>
      <w:r>
        <w:rPr>
          <w:rFonts w:hint="eastAsia" w:cs="宋体"/>
          <w:bCs/>
          <w:color w:val="auto"/>
          <w:szCs w:val="21"/>
          <w:highlight w:val="none"/>
          <w:lang w:val="en-US" w:eastAsia="zh-CN"/>
        </w:rPr>
        <w:t>在公司认为有必要的情况下，可在</w:t>
      </w:r>
      <w:r>
        <w:rPr>
          <w:rFonts w:hint="eastAsia" w:cs="宋体"/>
          <w:bCs/>
          <w:color w:val="auto"/>
          <w:szCs w:val="21"/>
          <w:highlight w:val="none"/>
        </w:rPr>
        <w:t>框架协议</w:t>
      </w:r>
      <w:r>
        <w:rPr>
          <w:rFonts w:hint="eastAsia" w:cs="宋体"/>
          <w:bCs/>
          <w:color w:val="auto"/>
          <w:szCs w:val="21"/>
          <w:highlight w:val="none"/>
          <w:lang w:val="en-US" w:eastAsia="zh-CN"/>
        </w:rPr>
        <w:t>到期</w:t>
      </w:r>
      <w:r>
        <w:rPr>
          <w:rFonts w:hint="eastAsia" w:cs="宋体"/>
          <w:bCs/>
          <w:color w:val="auto"/>
          <w:szCs w:val="21"/>
          <w:highlight w:val="none"/>
        </w:rPr>
        <w:t>之日</w:t>
      </w:r>
      <w:r>
        <w:rPr>
          <w:rFonts w:hint="eastAsia" w:cs="宋体"/>
          <w:bCs/>
          <w:color w:val="auto"/>
          <w:szCs w:val="21"/>
          <w:highlight w:val="none"/>
          <w:lang w:val="en-US" w:eastAsia="zh-CN"/>
        </w:rPr>
        <w:t>前，补充征集供应商入围。</w:t>
      </w:r>
    </w:p>
    <w:p w14:paraId="5B22396C">
      <w:pPr>
        <w:spacing w:line="360" w:lineRule="auto"/>
        <w:ind w:firstLine="422" w:firstLineChars="200"/>
        <w:rPr>
          <w:rFonts w:hint="eastAsia" w:cs="宋体"/>
          <w:b/>
          <w:bCs/>
          <w:color w:val="auto"/>
          <w:szCs w:val="21"/>
          <w:highlight w:val="none"/>
        </w:rPr>
      </w:pPr>
      <w:r>
        <w:rPr>
          <w:rFonts w:hint="eastAsia" w:cs="宋体"/>
          <w:b/>
          <w:bCs/>
          <w:color w:val="auto"/>
          <w:szCs w:val="21"/>
          <w:highlight w:val="none"/>
        </w:rPr>
        <w:t>三、合格投标人的资格要求</w:t>
      </w:r>
    </w:p>
    <w:p w14:paraId="0341EE05">
      <w:pPr>
        <w:pStyle w:val="4"/>
        <w:spacing w:before="0" w:beforeAutospacing="0" w:after="0" w:afterAutospacing="0" w:line="360" w:lineRule="auto"/>
        <w:ind w:firstLine="480"/>
        <w:jc w:val="both"/>
        <w:rPr>
          <w:rFonts w:hint="eastAsia"/>
          <w:color w:val="auto"/>
          <w:sz w:val="21"/>
          <w:szCs w:val="21"/>
          <w:highlight w:val="none"/>
        </w:rPr>
      </w:pPr>
      <w:r>
        <w:rPr>
          <w:rFonts w:hint="eastAsia"/>
          <w:color w:val="auto"/>
          <w:sz w:val="21"/>
          <w:szCs w:val="21"/>
          <w:highlight w:val="none"/>
        </w:rPr>
        <w:t>3.1资质要求：</w:t>
      </w:r>
    </w:p>
    <w:p w14:paraId="0A2EBEAA">
      <w:pPr>
        <w:pStyle w:val="4"/>
        <w:spacing w:before="0" w:beforeAutospacing="0" w:after="0" w:afterAutospacing="0" w:line="360" w:lineRule="auto"/>
        <w:ind w:firstLine="480"/>
        <w:jc w:val="both"/>
        <w:rPr>
          <w:rFonts w:hint="eastAsia"/>
          <w:color w:val="auto"/>
          <w:sz w:val="21"/>
          <w:szCs w:val="21"/>
          <w:highlight w:val="none"/>
        </w:rPr>
      </w:pPr>
      <w:r>
        <w:rPr>
          <w:rFonts w:hint="eastAsia"/>
          <w:color w:val="auto"/>
          <w:sz w:val="21"/>
          <w:szCs w:val="21"/>
          <w:highlight w:val="none"/>
        </w:rPr>
        <w:t>（1）本次招标要求投标人必须是在中国境内（外）注册的企业法人，具有有效营业执照，具备独立法人资格的供应商，具有一定的生产或销售规模，且产品的规格、型号和质量均符合相应现行的国家标准，价格、供货、售后服务能满足工程施工要求。</w:t>
      </w:r>
      <w:r>
        <w:rPr>
          <w:rFonts w:hint="eastAsia"/>
          <w:b/>
          <w:bCs/>
          <w:color w:val="auto"/>
          <w:sz w:val="21"/>
          <w:szCs w:val="21"/>
          <w:highlight w:val="none"/>
        </w:rPr>
        <w:t>（本条适合所有包件）。</w:t>
      </w:r>
    </w:p>
    <w:p w14:paraId="4BA7B706">
      <w:pPr>
        <w:pStyle w:val="4"/>
        <w:spacing w:before="0" w:beforeAutospacing="0" w:after="0" w:afterAutospacing="0" w:line="360" w:lineRule="auto"/>
        <w:ind w:firstLine="480"/>
        <w:jc w:val="both"/>
        <w:rPr>
          <w:b/>
          <w:bCs/>
          <w:color w:val="auto"/>
          <w:sz w:val="21"/>
          <w:szCs w:val="21"/>
          <w:highlight w:val="none"/>
        </w:rPr>
      </w:pPr>
      <w:r>
        <w:rPr>
          <w:rFonts w:hint="eastAsia"/>
          <w:color w:val="auto"/>
          <w:sz w:val="21"/>
          <w:szCs w:val="21"/>
          <w:highlight w:val="none"/>
        </w:rPr>
        <w:t>（2）投标人须具有其代理的</w:t>
      </w:r>
      <w:r>
        <w:rPr>
          <w:rFonts w:hint="eastAsia"/>
          <w:b/>
          <w:bCs/>
          <w:color w:val="auto"/>
          <w:sz w:val="21"/>
          <w:szCs w:val="21"/>
          <w:highlight w:val="none"/>
        </w:rPr>
        <w:t>（基质沥青）</w:t>
      </w:r>
      <w:r>
        <w:rPr>
          <w:rFonts w:hint="eastAsia"/>
          <w:color w:val="auto"/>
          <w:sz w:val="21"/>
          <w:szCs w:val="21"/>
          <w:highlight w:val="none"/>
        </w:rPr>
        <w:t>生产厂家出具的授权代理书或销售证明文件（如有下列证明文件之一亦可：区域经销商授权证明、销售合同、品牌代理证明材料）。</w:t>
      </w:r>
      <w:r>
        <w:rPr>
          <w:rFonts w:hint="eastAsia"/>
          <w:b/>
          <w:bCs/>
          <w:color w:val="auto"/>
          <w:sz w:val="21"/>
          <w:szCs w:val="21"/>
          <w:highlight w:val="none"/>
        </w:rPr>
        <w:t>（本条适合包件1、包件2和包件3）。</w:t>
      </w:r>
    </w:p>
    <w:p w14:paraId="7AA8B5DA">
      <w:pPr>
        <w:pStyle w:val="4"/>
        <w:spacing w:before="0" w:beforeAutospacing="0" w:after="0" w:afterAutospacing="0" w:line="360" w:lineRule="auto"/>
        <w:ind w:firstLine="480"/>
        <w:jc w:val="both"/>
        <w:rPr>
          <w:b/>
          <w:bCs/>
          <w:color w:val="auto"/>
          <w:sz w:val="21"/>
          <w:szCs w:val="21"/>
          <w:highlight w:val="none"/>
        </w:rPr>
      </w:pPr>
      <w:r>
        <w:rPr>
          <w:rFonts w:hint="eastAsia"/>
          <w:color w:val="auto"/>
          <w:sz w:val="21"/>
          <w:szCs w:val="21"/>
          <w:highlight w:val="none"/>
        </w:rPr>
        <w:t>（3）投标人须具有自有或租赁的改性沥青加工基地及改性沥青加工生产线，生产线产能不低于30吨/小时（由投标人提供产能证明资料：胶体磨采购发票、胶体磨照片及铭牌照片，若为租赁的还需提供租赁协议）；须具有自有或租赁的库存容量不小于3000吨的沥青库（由投标人提供相应的沥青库证明资料：能体现库存容量的产权证明以及购置发票，若为租赁的还需提供租赁协议）。</w:t>
      </w:r>
      <w:r>
        <w:rPr>
          <w:rFonts w:hint="eastAsia"/>
          <w:b/>
          <w:bCs/>
          <w:color w:val="auto"/>
          <w:sz w:val="21"/>
          <w:szCs w:val="21"/>
          <w:highlight w:val="none"/>
        </w:rPr>
        <w:t>（本条适合包件1、包件2）。</w:t>
      </w:r>
    </w:p>
    <w:p w14:paraId="4977D6EF">
      <w:pPr>
        <w:pStyle w:val="4"/>
        <w:spacing w:before="0" w:beforeAutospacing="0" w:after="0" w:afterAutospacing="0" w:line="360" w:lineRule="auto"/>
        <w:ind w:firstLine="480"/>
        <w:jc w:val="both"/>
        <w:rPr>
          <w:b/>
          <w:bCs/>
          <w:color w:val="auto"/>
          <w:sz w:val="21"/>
          <w:szCs w:val="21"/>
          <w:highlight w:val="none"/>
        </w:rPr>
      </w:pPr>
      <w:r>
        <w:rPr>
          <w:rFonts w:hint="eastAsia"/>
          <w:color w:val="auto"/>
          <w:sz w:val="21"/>
          <w:szCs w:val="21"/>
          <w:highlight w:val="none"/>
        </w:rPr>
        <w:t>（4）投标人改性沥青加工基地必须具有能完成出厂沥青主要质量指标检验能力的试验室（配备主要指标检测设备见附录6，需要提供对应设备的标定证书、铭牌、照片）。投标人为代理商（销售商）的应提供生产商所代理产品生产企业上述相关资料。</w:t>
      </w:r>
      <w:r>
        <w:rPr>
          <w:rFonts w:hint="eastAsia"/>
          <w:b/>
          <w:bCs/>
          <w:color w:val="auto"/>
          <w:sz w:val="21"/>
          <w:szCs w:val="21"/>
          <w:highlight w:val="none"/>
        </w:rPr>
        <w:t>（本条适合包件1、包件2和包件3）。</w:t>
      </w:r>
    </w:p>
    <w:p w14:paraId="23950531">
      <w:pPr>
        <w:pStyle w:val="4"/>
        <w:spacing w:before="0" w:beforeAutospacing="0" w:after="0" w:afterAutospacing="0" w:line="360" w:lineRule="auto"/>
        <w:ind w:firstLine="480"/>
        <w:jc w:val="both"/>
        <w:rPr>
          <w:rFonts w:hint="eastAsia"/>
          <w:color w:val="auto"/>
          <w:sz w:val="21"/>
          <w:szCs w:val="21"/>
          <w:highlight w:val="none"/>
        </w:rPr>
      </w:pPr>
      <w:r>
        <w:rPr>
          <w:rFonts w:hint="eastAsia"/>
          <w:color w:val="auto"/>
          <w:sz w:val="21"/>
          <w:szCs w:val="21"/>
          <w:highlight w:val="none"/>
        </w:rPr>
        <w:t>3.2财务要求：</w:t>
      </w:r>
    </w:p>
    <w:p w14:paraId="16F73574">
      <w:pPr>
        <w:pStyle w:val="4"/>
        <w:numPr>
          <w:ilvl w:val="0"/>
          <w:numId w:val="2"/>
        </w:numPr>
        <w:spacing w:before="0" w:beforeAutospacing="0" w:after="0" w:afterAutospacing="0" w:line="360" w:lineRule="auto"/>
        <w:ind w:firstLine="480"/>
        <w:jc w:val="both"/>
        <w:rPr>
          <w:rFonts w:hint="eastAsia"/>
          <w:color w:val="auto"/>
          <w:sz w:val="21"/>
          <w:szCs w:val="21"/>
          <w:highlight w:val="none"/>
        </w:rPr>
      </w:pPr>
      <w:r>
        <w:rPr>
          <w:rFonts w:hint="eastAsia"/>
          <w:color w:val="auto"/>
          <w:sz w:val="21"/>
          <w:szCs w:val="21"/>
          <w:highlight w:val="none"/>
        </w:rPr>
        <w:t>包件1、包件2：企业财务状况良好，具备实施本项目合同充足的资金保障能力。</w:t>
      </w:r>
    </w:p>
    <w:p w14:paraId="3A9FFCA8">
      <w:pPr>
        <w:pStyle w:val="4"/>
        <w:spacing w:before="0" w:beforeAutospacing="0" w:after="0" w:afterAutospacing="0" w:line="360" w:lineRule="auto"/>
        <w:jc w:val="both"/>
        <w:rPr>
          <w:color w:val="auto"/>
          <w:sz w:val="21"/>
          <w:szCs w:val="21"/>
          <w:highlight w:val="none"/>
        </w:rPr>
      </w:pPr>
      <w:r>
        <w:rPr>
          <w:rFonts w:hint="eastAsia"/>
          <w:color w:val="auto"/>
          <w:sz w:val="21"/>
          <w:szCs w:val="21"/>
          <w:highlight w:val="none"/>
        </w:rPr>
        <w:t>可为招标人给予采购授信额度不低于500万元，授信期限与框架协议期一致。</w:t>
      </w:r>
    </w:p>
    <w:p w14:paraId="41F1C146">
      <w:pPr>
        <w:pStyle w:val="4"/>
        <w:numPr>
          <w:ilvl w:val="0"/>
          <w:numId w:val="2"/>
        </w:numPr>
        <w:spacing w:before="0" w:beforeAutospacing="0" w:after="0" w:afterAutospacing="0" w:line="360" w:lineRule="auto"/>
        <w:ind w:firstLine="480"/>
        <w:jc w:val="both"/>
        <w:rPr>
          <w:rFonts w:hint="eastAsia"/>
          <w:color w:val="auto"/>
          <w:sz w:val="21"/>
          <w:szCs w:val="21"/>
          <w:highlight w:val="none"/>
        </w:rPr>
      </w:pPr>
      <w:r>
        <w:rPr>
          <w:rFonts w:hint="eastAsia"/>
          <w:color w:val="auto"/>
          <w:sz w:val="21"/>
          <w:szCs w:val="21"/>
          <w:highlight w:val="none"/>
        </w:rPr>
        <w:t>包件3和包件4：企业财务状况良好，具备实施本项目合同充足的资金保障能力。可为招标人给予采购授信额度不低于100万元，授信期限与框架协议期一致。</w:t>
      </w:r>
    </w:p>
    <w:p w14:paraId="1943DCB4">
      <w:pPr>
        <w:pStyle w:val="4"/>
        <w:spacing w:before="0" w:beforeAutospacing="0" w:after="0" w:afterAutospacing="0" w:line="360" w:lineRule="auto"/>
        <w:ind w:firstLine="480"/>
        <w:jc w:val="both"/>
        <w:rPr>
          <w:rFonts w:hint="eastAsia"/>
          <w:color w:val="auto"/>
          <w:sz w:val="21"/>
          <w:szCs w:val="21"/>
          <w:highlight w:val="none"/>
        </w:rPr>
      </w:pPr>
      <w:r>
        <w:rPr>
          <w:rFonts w:hint="eastAsia"/>
          <w:color w:val="auto"/>
          <w:sz w:val="21"/>
          <w:szCs w:val="21"/>
          <w:highlight w:val="none"/>
        </w:rPr>
        <w:t>3.3业绩要求：</w:t>
      </w:r>
    </w:p>
    <w:p w14:paraId="3861C3C1">
      <w:pPr>
        <w:pStyle w:val="4"/>
        <w:numPr>
          <w:ilvl w:val="0"/>
          <w:numId w:val="3"/>
        </w:numPr>
        <w:spacing w:before="0" w:beforeAutospacing="0" w:after="0" w:afterAutospacing="0" w:line="360" w:lineRule="auto"/>
        <w:ind w:firstLine="480"/>
        <w:jc w:val="both"/>
        <w:rPr>
          <w:rFonts w:hint="eastAsia"/>
          <w:color w:val="auto"/>
          <w:sz w:val="21"/>
          <w:szCs w:val="21"/>
          <w:highlight w:val="none"/>
        </w:rPr>
      </w:pPr>
      <w:r>
        <w:rPr>
          <w:rFonts w:hint="eastAsia"/>
          <w:color w:val="auto"/>
          <w:sz w:val="21"/>
          <w:szCs w:val="21"/>
          <w:highlight w:val="none"/>
        </w:rPr>
        <w:t>包件1、包件2：投标人在 2021年1月1日以来具有1个单个合同金额不少于2000万元的道路工程、市政工程等相关路面工程沥青供货业绩（附合同扫描件，合同金额明晰可辨，以合同签订时间为准）。</w:t>
      </w:r>
    </w:p>
    <w:p w14:paraId="28415350">
      <w:pPr>
        <w:pStyle w:val="4"/>
        <w:numPr>
          <w:ilvl w:val="0"/>
          <w:numId w:val="3"/>
        </w:numPr>
        <w:spacing w:before="0" w:beforeAutospacing="0" w:after="0" w:afterAutospacing="0" w:line="360" w:lineRule="auto"/>
        <w:ind w:firstLine="480"/>
        <w:jc w:val="both"/>
        <w:rPr>
          <w:rFonts w:hint="eastAsia"/>
          <w:color w:val="auto"/>
          <w:sz w:val="21"/>
          <w:szCs w:val="21"/>
          <w:highlight w:val="none"/>
        </w:rPr>
      </w:pPr>
      <w:r>
        <w:rPr>
          <w:rFonts w:hint="eastAsia"/>
          <w:color w:val="auto"/>
          <w:sz w:val="21"/>
          <w:szCs w:val="21"/>
          <w:highlight w:val="none"/>
        </w:rPr>
        <w:t>包件3：投标人在 2021年1月1日以来具有1个单个合同金额不少于500万元的道路工程、市政工程等相关路面工程沥青供货业绩（附合同扫描件，合同金额明晰可辨，以合同签订时间为准）。</w:t>
      </w:r>
    </w:p>
    <w:p w14:paraId="41784594">
      <w:pPr>
        <w:pStyle w:val="4"/>
        <w:spacing w:before="0" w:beforeAutospacing="0" w:after="0" w:afterAutospacing="0" w:line="360" w:lineRule="auto"/>
        <w:ind w:firstLine="480"/>
        <w:jc w:val="both"/>
        <w:rPr>
          <w:rFonts w:hint="eastAsia"/>
          <w:color w:val="auto"/>
          <w:sz w:val="21"/>
          <w:szCs w:val="21"/>
          <w:highlight w:val="none"/>
        </w:rPr>
      </w:pPr>
      <w:r>
        <w:rPr>
          <w:rFonts w:hint="eastAsia"/>
          <w:color w:val="auto"/>
          <w:sz w:val="21"/>
          <w:szCs w:val="21"/>
          <w:highlight w:val="none"/>
        </w:rPr>
        <w:t>（3）包件4：投标人在 2021年1月1日以来具有1个单个合同金额不少于100万元的道路工程、市政工程等相关路面工程沥青供货业绩（附合同扫描件，合同金额明晰可辨，以合同签订时间为准）。</w:t>
      </w:r>
    </w:p>
    <w:p w14:paraId="47A5512C">
      <w:pPr>
        <w:pStyle w:val="4"/>
        <w:spacing w:before="0" w:beforeAutospacing="0" w:after="0" w:afterAutospacing="0" w:line="360" w:lineRule="auto"/>
        <w:ind w:firstLine="480"/>
        <w:jc w:val="both"/>
        <w:rPr>
          <w:rFonts w:hint="eastAsia"/>
          <w:color w:val="auto"/>
          <w:sz w:val="21"/>
          <w:szCs w:val="21"/>
          <w:highlight w:val="none"/>
        </w:rPr>
      </w:pPr>
      <w:r>
        <w:rPr>
          <w:rFonts w:hint="eastAsia"/>
          <w:color w:val="auto"/>
          <w:sz w:val="21"/>
          <w:szCs w:val="21"/>
          <w:highlight w:val="none"/>
        </w:rPr>
        <w:t>3.4信誉要求：</w:t>
      </w:r>
    </w:p>
    <w:p w14:paraId="6A097F9F">
      <w:pPr>
        <w:pStyle w:val="4"/>
        <w:spacing w:before="0" w:beforeAutospacing="0" w:after="0" w:afterAutospacing="0" w:line="360" w:lineRule="auto"/>
        <w:ind w:firstLine="480"/>
        <w:jc w:val="both"/>
        <w:rPr>
          <w:rFonts w:hint="eastAsia"/>
          <w:color w:val="auto"/>
          <w:sz w:val="21"/>
          <w:szCs w:val="21"/>
          <w:highlight w:val="none"/>
        </w:rPr>
      </w:pPr>
      <w:r>
        <w:rPr>
          <w:rFonts w:hint="eastAsia"/>
          <w:color w:val="auto"/>
          <w:sz w:val="21"/>
          <w:szCs w:val="21"/>
          <w:highlight w:val="none"/>
        </w:rPr>
        <w:t>（1）投标人未被杭州湾绿色养护（嘉兴）股份有限公司列入招标采购黑名单，且在有效期内的。</w:t>
      </w:r>
    </w:p>
    <w:p w14:paraId="2FDB6930">
      <w:pPr>
        <w:pStyle w:val="4"/>
        <w:spacing w:before="0" w:beforeAutospacing="0" w:after="0" w:afterAutospacing="0" w:line="360" w:lineRule="auto"/>
        <w:ind w:firstLine="480"/>
        <w:jc w:val="both"/>
        <w:rPr>
          <w:rFonts w:hint="eastAsia"/>
          <w:color w:val="auto"/>
          <w:sz w:val="21"/>
          <w:szCs w:val="21"/>
          <w:highlight w:val="none"/>
        </w:rPr>
      </w:pPr>
      <w:r>
        <w:rPr>
          <w:rFonts w:hint="eastAsia"/>
          <w:color w:val="auto"/>
          <w:sz w:val="21"/>
          <w:szCs w:val="21"/>
          <w:highlight w:val="none"/>
        </w:rPr>
        <w:t>（2）投标人未被“信用中国”网站（http://www.creditchina.gov.cn）以及“信用中国（浙江）”网站（http://credit.zj.gov.cn）列入“严重失信主体名单”（评标现场查验）。</w:t>
      </w:r>
    </w:p>
    <w:p w14:paraId="360C2268">
      <w:pPr>
        <w:pStyle w:val="4"/>
        <w:spacing w:before="0" w:beforeAutospacing="0" w:after="0" w:afterAutospacing="0" w:line="360" w:lineRule="auto"/>
        <w:ind w:firstLine="480"/>
        <w:jc w:val="both"/>
        <w:rPr>
          <w:rFonts w:hint="eastAsia"/>
          <w:color w:val="auto"/>
          <w:sz w:val="21"/>
          <w:szCs w:val="21"/>
          <w:highlight w:val="none"/>
        </w:rPr>
      </w:pPr>
      <w:r>
        <w:rPr>
          <w:rFonts w:hint="eastAsia"/>
          <w:color w:val="auto"/>
          <w:sz w:val="21"/>
          <w:szCs w:val="21"/>
          <w:highlight w:val="none"/>
        </w:rPr>
        <w:t>（3）自2021年7月1日以来，投标人无行贿犯罪行为（以中国裁判文书网（http://wenshu.court.gov.cn/）查询结果为准，时间以法院判决书判决时间为准）（评标现场查验）。</w:t>
      </w:r>
    </w:p>
    <w:p w14:paraId="5619E7CB">
      <w:pPr>
        <w:pStyle w:val="4"/>
        <w:spacing w:before="0" w:beforeAutospacing="0" w:after="0" w:afterAutospacing="0" w:line="360" w:lineRule="auto"/>
        <w:ind w:firstLine="480"/>
        <w:jc w:val="both"/>
        <w:rPr>
          <w:rFonts w:hint="eastAsia"/>
          <w:color w:val="auto"/>
          <w:sz w:val="21"/>
          <w:szCs w:val="21"/>
          <w:highlight w:val="none"/>
        </w:rPr>
      </w:pPr>
      <w:r>
        <w:rPr>
          <w:rFonts w:hint="eastAsia"/>
          <w:color w:val="auto"/>
          <w:sz w:val="21"/>
          <w:szCs w:val="21"/>
          <w:highlight w:val="none"/>
        </w:rPr>
        <w:t>3.5其他要求：</w:t>
      </w:r>
    </w:p>
    <w:p w14:paraId="3768D0DD">
      <w:pPr>
        <w:pStyle w:val="4"/>
        <w:spacing w:before="0" w:beforeAutospacing="0" w:after="0" w:afterAutospacing="0" w:line="360" w:lineRule="auto"/>
        <w:ind w:firstLine="480"/>
        <w:jc w:val="both"/>
        <w:rPr>
          <w:rFonts w:hint="eastAsia"/>
          <w:color w:val="auto"/>
          <w:sz w:val="21"/>
          <w:szCs w:val="21"/>
          <w:highlight w:val="none"/>
        </w:rPr>
      </w:pPr>
      <w:r>
        <w:rPr>
          <w:rFonts w:hint="eastAsia"/>
          <w:color w:val="auto"/>
          <w:sz w:val="21"/>
          <w:szCs w:val="21"/>
          <w:highlight w:val="none"/>
        </w:rPr>
        <w:t>（1）投标人不存在《中华人民共和国招标投标法》、《中华人民共和国招标投标法实施条例》禁止投标的情形。</w:t>
      </w:r>
    </w:p>
    <w:p w14:paraId="24CCB5F7">
      <w:pPr>
        <w:pStyle w:val="4"/>
        <w:spacing w:before="0" w:beforeAutospacing="0" w:after="0" w:afterAutospacing="0" w:line="360" w:lineRule="auto"/>
        <w:ind w:firstLine="480"/>
        <w:jc w:val="both"/>
        <w:rPr>
          <w:rFonts w:hint="eastAsia"/>
          <w:color w:val="auto"/>
          <w:sz w:val="21"/>
          <w:szCs w:val="21"/>
          <w:highlight w:val="none"/>
        </w:rPr>
      </w:pPr>
      <w:r>
        <w:rPr>
          <w:rFonts w:hint="eastAsia"/>
          <w:color w:val="auto"/>
          <w:sz w:val="21"/>
          <w:szCs w:val="21"/>
          <w:highlight w:val="none"/>
        </w:rPr>
        <w:t>（2）与招标人存在利害关系可能影响招标公正性的法人、其他组织或者个人，不得参加投标,单位负责人为同一人或者存在控股、管理关系的不同单位（即利益相关人），不得参加同一标段投标，否则，相关投标均无效。</w:t>
      </w:r>
    </w:p>
    <w:p w14:paraId="1ADDC64E">
      <w:pPr>
        <w:pStyle w:val="4"/>
        <w:spacing w:before="0" w:beforeAutospacing="0" w:after="0" w:afterAutospacing="0" w:line="360" w:lineRule="auto"/>
        <w:ind w:firstLine="480"/>
        <w:jc w:val="both"/>
        <w:rPr>
          <w:rFonts w:hint="eastAsia"/>
          <w:color w:val="auto"/>
          <w:sz w:val="21"/>
          <w:szCs w:val="21"/>
          <w:highlight w:val="none"/>
        </w:rPr>
      </w:pPr>
      <w:r>
        <w:rPr>
          <w:rFonts w:hint="eastAsia"/>
          <w:color w:val="auto"/>
          <w:sz w:val="21"/>
          <w:szCs w:val="21"/>
          <w:highlight w:val="none"/>
        </w:rPr>
        <w:t>（3）本次招标不接受联合体投标。</w:t>
      </w:r>
    </w:p>
    <w:p w14:paraId="5B45CE44">
      <w:pPr>
        <w:pStyle w:val="4"/>
        <w:spacing w:before="0" w:beforeAutospacing="0" w:after="0" w:afterAutospacing="0" w:line="360" w:lineRule="auto"/>
        <w:ind w:firstLine="480"/>
        <w:jc w:val="both"/>
        <w:rPr>
          <w:rFonts w:hint="eastAsia"/>
          <w:color w:val="auto"/>
          <w:sz w:val="21"/>
          <w:szCs w:val="21"/>
          <w:highlight w:val="none"/>
        </w:rPr>
      </w:pPr>
      <w:r>
        <w:rPr>
          <w:rFonts w:hint="eastAsia"/>
          <w:color w:val="auto"/>
          <w:sz w:val="21"/>
          <w:szCs w:val="21"/>
          <w:highlight w:val="none"/>
        </w:rPr>
        <w:t>（4）对于多合同包投标的，每个投标人可在招标中对多个合同包投标，每个投标人允许中标合同包的数量不限。参加多合同包投标的投标人，</w:t>
      </w:r>
      <w:r>
        <w:rPr>
          <w:rFonts w:hint="eastAsia"/>
          <w:b/>
          <w:bCs/>
          <w:color w:val="auto"/>
          <w:sz w:val="21"/>
          <w:szCs w:val="21"/>
          <w:highlight w:val="none"/>
        </w:rPr>
        <w:t>须对每个合同包单独制作投标文件。</w:t>
      </w:r>
    </w:p>
    <w:p w14:paraId="3A915681">
      <w:pPr>
        <w:spacing w:line="360" w:lineRule="auto"/>
        <w:ind w:firstLine="422" w:firstLineChars="200"/>
        <w:rPr>
          <w:rFonts w:hint="eastAsia" w:cs="宋体"/>
          <w:color w:val="auto"/>
          <w:szCs w:val="21"/>
          <w:highlight w:val="none"/>
        </w:rPr>
      </w:pPr>
      <w:r>
        <w:rPr>
          <w:rFonts w:hint="eastAsia" w:cs="宋体"/>
          <w:b/>
          <w:bCs/>
          <w:color w:val="auto"/>
          <w:szCs w:val="21"/>
          <w:highlight w:val="none"/>
        </w:rPr>
        <w:t>四、招标文件的获取：</w:t>
      </w:r>
    </w:p>
    <w:p w14:paraId="03B54A7F">
      <w:pPr>
        <w:shd w:val="clear" w:color="auto" w:fill="FFFFFF"/>
        <w:snapToGrid w:val="0"/>
        <w:spacing w:line="360" w:lineRule="auto"/>
        <w:ind w:firstLine="411" w:firstLineChars="196"/>
        <w:rPr>
          <w:bCs/>
          <w:color w:val="auto"/>
          <w:szCs w:val="21"/>
          <w:highlight w:val="none"/>
        </w:rPr>
      </w:pPr>
      <w:r>
        <w:rPr>
          <w:rFonts w:hint="eastAsia"/>
          <w:bCs/>
          <w:color w:val="auto"/>
          <w:szCs w:val="21"/>
          <w:highlight w:val="none"/>
        </w:rPr>
        <w:t>1、获取招标文件时间：自公告发布之日起至2024年11月</w:t>
      </w:r>
      <w:r>
        <w:rPr>
          <w:rFonts w:hint="eastAsia"/>
          <w:bCs/>
          <w:color w:val="auto"/>
          <w:szCs w:val="21"/>
          <w:highlight w:val="none"/>
          <w:lang w:val="en-US" w:eastAsia="zh-CN"/>
        </w:rPr>
        <w:t>28</w:t>
      </w:r>
      <w:r>
        <w:rPr>
          <w:rFonts w:hint="eastAsia"/>
          <w:bCs/>
          <w:color w:val="auto"/>
          <w:szCs w:val="21"/>
          <w:highlight w:val="none"/>
        </w:rPr>
        <w:t>日9时00分止；</w:t>
      </w:r>
    </w:p>
    <w:p w14:paraId="28983F59">
      <w:pPr>
        <w:shd w:val="clear" w:color="auto" w:fill="FFFFFF"/>
        <w:snapToGrid w:val="0"/>
        <w:spacing w:line="360" w:lineRule="auto"/>
        <w:ind w:firstLine="411" w:firstLineChars="196"/>
        <w:rPr>
          <w:bCs/>
          <w:color w:val="auto"/>
          <w:szCs w:val="21"/>
          <w:highlight w:val="none"/>
        </w:rPr>
      </w:pPr>
      <w:r>
        <w:rPr>
          <w:rFonts w:hint="eastAsia"/>
          <w:bCs/>
          <w:color w:val="auto"/>
          <w:szCs w:val="21"/>
          <w:highlight w:val="none"/>
        </w:rPr>
        <w:t>2、获取招标文件方式：本项目招标文件实行“嘉兴禾采联综合采购服务平台”在线获取，不提供招标文件纸质版，请登陆嘉兴禾采联综合采购服务平台（http://www.jxcqgs.cn/jxcqcg/）—“供应商登录”，免费注册完成后，下载获取后缀名为“.JXCQZF”的发包文件等。注册咨询、技术服务电话：0573-82813680。</w:t>
      </w:r>
    </w:p>
    <w:p w14:paraId="249E508F">
      <w:pPr>
        <w:shd w:val="clear" w:color="auto" w:fill="FFFFFF"/>
        <w:snapToGrid w:val="0"/>
        <w:spacing w:line="360" w:lineRule="auto"/>
        <w:ind w:firstLine="411" w:firstLineChars="196"/>
        <w:rPr>
          <w:bCs/>
          <w:color w:val="auto"/>
          <w:szCs w:val="21"/>
          <w:highlight w:val="none"/>
        </w:rPr>
      </w:pPr>
      <w:r>
        <w:rPr>
          <w:rFonts w:hint="eastAsia"/>
          <w:bCs/>
          <w:color w:val="auto"/>
          <w:szCs w:val="21"/>
          <w:highlight w:val="none"/>
        </w:rPr>
        <w:t>注：请供应商按上述要求获取招标文件，如未在嘉兴禾采联综合采购服务平台系统内完成相关流程，引起的投标无效责任自担。</w:t>
      </w:r>
    </w:p>
    <w:p w14:paraId="6D3B0E03">
      <w:pPr>
        <w:shd w:val="clear" w:color="auto" w:fill="FFFFFF"/>
        <w:snapToGrid w:val="0"/>
        <w:spacing w:line="360" w:lineRule="auto"/>
        <w:ind w:firstLine="413" w:firstLineChars="196"/>
        <w:rPr>
          <w:rFonts w:hint="eastAsia" w:cs="宋体"/>
          <w:color w:val="auto"/>
          <w:szCs w:val="21"/>
          <w:highlight w:val="none"/>
        </w:rPr>
      </w:pPr>
      <w:r>
        <w:rPr>
          <w:rFonts w:hint="eastAsia" w:cs="宋体"/>
          <w:b/>
          <w:bCs/>
          <w:color w:val="auto"/>
          <w:szCs w:val="21"/>
          <w:highlight w:val="none"/>
        </w:rPr>
        <w:t>五、投标保证金</w:t>
      </w:r>
    </w:p>
    <w:p w14:paraId="43F8CE81">
      <w:pPr>
        <w:spacing w:line="360" w:lineRule="auto"/>
        <w:ind w:firstLine="420" w:firstLineChars="200"/>
        <w:rPr>
          <w:rFonts w:hint="eastAsia" w:cs="宋体"/>
          <w:color w:val="auto"/>
          <w:szCs w:val="21"/>
          <w:highlight w:val="none"/>
        </w:rPr>
      </w:pPr>
      <w:r>
        <w:rPr>
          <w:rFonts w:hint="eastAsia" w:cs="宋体"/>
          <w:color w:val="auto"/>
          <w:szCs w:val="21"/>
          <w:highlight w:val="none"/>
        </w:rPr>
        <w:t>1、各包件投标保证金：人民币贰万元整（参加多个包件的投标人，需对每个包件分别递交投标保证金）</w:t>
      </w:r>
    </w:p>
    <w:p w14:paraId="0F8EDE26">
      <w:pPr>
        <w:spacing w:line="360" w:lineRule="auto"/>
        <w:ind w:firstLine="420" w:firstLineChars="200"/>
        <w:rPr>
          <w:rFonts w:hint="eastAsia" w:cs="宋体"/>
          <w:color w:val="auto"/>
          <w:szCs w:val="21"/>
          <w:highlight w:val="none"/>
        </w:rPr>
      </w:pPr>
      <w:r>
        <w:rPr>
          <w:rFonts w:hint="eastAsia" w:cs="宋体"/>
          <w:color w:val="auto"/>
          <w:szCs w:val="21"/>
          <w:highlight w:val="none"/>
        </w:rPr>
        <w:t>2、投标人通过平台生成专用子账号，通过电脑在线划转，手机划转，柜台划转（注：不能通过现金直接存入）等缴纳保证金，应在投标截止时间前递交。</w:t>
      </w:r>
    </w:p>
    <w:p w14:paraId="45808792">
      <w:pPr>
        <w:spacing w:line="360" w:lineRule="auto"/>
        <w:ind w:left="420"/>
        <w:rPr>
          <w:rFonts w:hint="eastAsia" w:cs="宋体"/>
          <w:b/>
          <w:bCs/>
          <w:color w:val="auto"/>
          <w:szCs w:val="21"/>
          <w:highlight w:val="none"/>
        </w:rPr>
      </w:pPr>
      <w:r>
        <w:rPr>
          <w:rFonts w:hint="eastAsia" w:cs="宋体"/>
          <w:b/>
          <w:bCs/>
          <w:color w:val="auto"/>
          <w:szCs w:val="21"/>
          <w:highlight w:val="none"/>
        </w:rPr>
        <w:t>六、投标截止时间和地点、开标时间和地点：</w:t>
      </w:r>
    </w:p>
    <w:p w14:paraId="2D23946B">
      <w:pPr>
        <w:spacing w:line="360" w:lineRule="auto"/>
        <w:ind w:firstLine="420" w:firstLineChars="200"/>
        <w:rPr>
          <w:rFonts w:cs="宋体"/>
          <w:color w:val="auto"/>
          <w:szCs w:val="21"/>
          <w:highlight w:val="yellow"/>
        </w:rPr>
      </w:pPr>
      <w:r>
        <w:rPr>
          <w:rFonts w:hint="eastAsia" w:cs="宋体"/>
          <w:color w:val="auto"/>
          <w:szCs w:val="21"/>
          <w:highlight w:val="none"/>
        </w:rPr>
        <w:t>1、投标文件递交截止时间：</w:t>
      </w:r>
      <w:r>
        <w:rPr>
          <w:rFonts w:hint="eastAsia"/>
          <w:bCs/>
          <w:color w:val="auto"/>
          <w:szCs w:val="21"/>
          <w:highlight w:val="none"/>
        </w:rPr>
        <w:t>2024年</w:t>
      </w:r>
      <w:r>
        <w:rPr>
          <w:rFonts w:hint="eastAsia"/>
          <w:bCs/>
          <w:color w:val="auto"/>
          <w:szCs w:val="21"/>
          <w:highlight w:val="none"/>
          <w:lang w:val="en-US" w:eastAsia="zh-CN"/>
        </w:rPr>
        <w:t>11</w:t>
      </w:r>
      <w:r>
        <w:rPr>
          <w:rFonts w:hint="eastAsia"/>
          <w:bCs/>
          <w:color w:val="auto"/>
          <w:szCs w:val="21"/>
          <w:highlight w:val="none"/>
        </w:rPr>
        <w:t>月</w:t>
      </w:r>
      <w:r>
        <w:rPr>
          <w:rFonts w:hint="eastAsia"/>
          <w:bCs/>
          <w:color w:val="auto"/>
          <w:szCs w:val="21"/>
          <w:highlight w:val="none"/>
          <w:lang w:val="en-US" w:eastAsia="zh-CN"/>
        </w:rPr>
        <w:t>28</w:t>
      </w:r>
      <w:r>
        <w:rPr>
          <w:rFonts w:hint="eastAsia"/>
          <w:bCs/>
          <w:color w:val="auto"/>
          <w:szCs w:val="21"/>
          <w:highlight w:val="none"/>
        </w:rPr>
        <w:t>日9时00分</w:t>
      </w:r>
      <w:r>
        <w:rPr>
          <w:rFonts w:hint="eastAsia" w:cs="宋体"/>
          <w:color w:val="auto"/>
          <w:szCs w:val="21"/>
          <w:highlight w:val="none"/>
        </w:rPr>
        <w:t>（北京时间）</w:t>
      </w:r>
    </w:p>
    <w:p w14:paraId="60B72E2A">
      <w:pPr>
        <w:spacing w:line="360" w:lineRule="auto"/>
        <w:ind w:firstLine="420" w:firstLineChars="200"/>
        <w:rPr>
          <w:rFonts w:cs="宋体"/>
          <w:color w:val="auto"/>
          <w:szCs w:val="21"/>
          <w:highlight w:val="none"/>
        </w:rPr>
      </w:pPr>
      <w:r>
        <w:rPr>
          <w:rFonts w:hint="eastAsia" w:cs="宋体"/>
          <w:color w:val="auto"/>
          <w:szCs w:val="21"/>
          <w:highlight w:val="none"/>
        </w:rPr>
        <w:t>2、开标时间：同投标文件递交截止时间。</w:t>
      </w:r>
    </w:p>
    <w:p w14:paraId="035E57DC">
      <w:pPr>
        <w:spacing w:line="360" w:lineRule="auto"/>
        <w:ind w:firstLine="420" w:firstLineChars="200"/>
        <w:rPr>
          <w:rFonts w:cs="宋体"/>
          <w:color w:val="auto"/>
          <w:szCs w:val="21"/>
          <w:highlight w:val="none"/>
        </w:rPr>
      </w:pPr>
      <w:r>
        <w:rPr>
          <w:rFonts w:hint="eastAsia" w:cs="宋体"/>
          <w:color w:val="auto"/>
          <w:szCs w:val="21"/>
          <w:highlight w:val="none"/>
        </w:rPr>
        <w:t>3、投标文件递交地址（网址）：请登陆嘉兴禾采联综合采购服务平台（http://www.jxcqgs.cn/jxcqcg/）—“供应商登录”，在投标截止时间前上传投标文件，提示上传成功即完成投标。本项目通过嘉兴禾采联综合采购服务平台投标制作软件编制并加密投标文件，投标人未按规定加密的投标文件，嘉兴禾采联综合采购服务平台将予以拒收。</w:t>
      </w:r>
    </w:p>
    <w:p w14:paraId="07990048">
      <w:pPr>
        <w:spacing w:line="360" w:lineRule="auto"/>
        <w:ind w:firstLine="420" w:firstLineChars="200"/>
        <w:rPr>
          <w:rFonts w:hint="eastAsia" w:cs="宋体"/>
          <w:color w:val="auto"/>
          <w:szCs w:val="21"/>
          <w:highlight w:val="none"/>
        </w:rPr>
      </w:pPr>
      <w:r>
        <w:rPr>
          <w:rFonts w:hint="eastAsia" w:cs="宋体"/>
          <w:color w:val="auto"/>
          <w:szCs w:val="21"/>
          <w:highlight w:val="none"/>
        </w:rPr>
        <w:t>4、开标地址：本次招标采用远程不见面开标，请投标人在开标前提前登陆嘉兴禾采联综合采购服务平台（http://www.jxcqgs.cn/jxcqcg/）—“不见面开标”，登陆成功后，参与线上开标流程，完成在线解密。本项目解密时长为30分钟，如投标人未在规定时间内完成解密的，责任由投标人自负。</w:t>
      </w:r>
    </w:p>
    <w:p w14:paraId="788A443A">
      <w:pPr>
        <w:spacing w:line="360" w:lineRule="auto"/>
        <w:ind w:firstLine="422" w:firstLineChars="200"/>
        <w:rPr>
          <w:rFonts w:hint="eastAsia" w:cs="宋体"/>
          <w:b/>
          <w:color w:val="auto"/>
          <w:szCs w:val="21"/>
          <w:highlight w:val="none"/>
        </w:rPr>
      </w:pPr>
      <w:r>
        <w:rPr>
          <w:rFonts w:hint="eastAsia" w:cs="宋体"/>
          <w:b/>
          <w:color w:val="auto"/>
          <w:szCs w:val="21"/>
          <w:highlight w:val="none"/>
        </w:rPr>
        <w:t>注：相关制作软件及操作手册请在嘉兴禾采联综合采购服务平台首页办事指南及下载中心自行下载。</w:t>
      </w:r>
    </w:p>
    <w:p w14:paraId="54246ED7">
      <w:pPr>
        <w:spacing w:line="360" w:lineRule="auto"/>
        <w:ind w:left="420"/>
        <w:rPr>
          <w:rFonts w:hint="eastAsia" w:cs="宋体"/>
          <w:b/>
          <w:bCs/>
          <w:color w:val="auto"/>
          <w:szCs w:val="21"/>
          <w:highlight w:val="none"/>
        </w:rPr>
      </w:pPr>
      <w:r>
        <w:rPr>
          <w:rFonts w:hint="eastAsia" w:cs="宋体"/>
          <w:b/>
          <w:bCs/>
          <w:color w:val="auto"/>
          <w:szCs w:val="21"/>
          <w:highlight w:val="none"/>
        </w:rPr>
        <w:t>七、投标注意事项：</w:t>
      </w:r>
    </w:p>
    <w:p w14:paraId="21FE5DC7">
      <w:pPr>
        <w:spacing w:line="360" w:lineRule="auto"/>
        <w:ind w:firstLine="420" w:firstLineChars="200"/>
        <w:rPr>
          <w:rFonts w:cs="宋体"/>
          <w:color w:val="auto"/>
          <w:szCs w:val="21"/>
          <w:highlight w:val="none"/>
        </w:rPr>
      </w:pPr>
      <w:r>
        <w:rPr>
          <w:rFonts w:hint="eastAsia" w:cs="宋体"/>
          <w:color w:val="auto"/>
          <w:szCs w:val="21"/>
          <w:highlight w:val="none"/>
        </w:rPr>
        <w:t>远程不见面开标：是指将传统的开标场所搬到网上，招标人、投标人只需登录网上不见面开标大厅（http://www.jxcqgs.cn/BidOpening/bidhall/default/login），无需到达开标现场参与即可进行投标文件在线解密、投标人在线提问、招标人在线回复等操作。</w:t>
      </w:r>
    </w:p>
    <w:p w14:paraId="1B1D992D">
      <w:pPr>
        <w:spacing w:line="360" w:lineRule="auto"/>
        <w:ind w:firstLine="420" w:firstLineChars="200"/>
        <w:rPr>
          <w:rFonts w:hint="eastAsia" w:cs="宋体"/>
          <w:color w:val="auto"/>
          <w:szCs w:val="21"/>
          <w:highlight w:val="none"/>
        </w:rPr>
      </w:pPr>
      <w:r>
        <w:rPr>
          <w:rFonts w:hint="eastAsia" w:cs="宋体"/>
          <w:color w:val="auto"/>
          <w:szCs w:val="21"/>
          <w:highlight w:val="none"/>
        </w:rPr>
        <w:t>CA锁和嘉兴市公共资源交易系统通用。</w:t>
      </w:r>
    </w:p>
    <w:p w14:paraId="21AB7277">
      <w:pPr>
        <w:spacing w:line="360" w:lineRule="auto"/>
        <w:ind w:firstLine="420" w:firstLineChars="200"/>
        <w:rPr>
          <w:rFonts w:hint="eastAsia" w:cs="宋体"/>
          <w:color w:val="auto"/>
          <w:szCs w:val="21"/>
          <w:highlight w:val="none"/>
        </w:rPr>
      </w:pPr>
      <w:r>
        <w:rPr>
          <w:rFonts w:hint="eastAsia" w:cs="宋体"/>
          <w:color w:val="auto"/>
          <w:szCs w:val="21"/>
          <w:highlight w:val="none"/>
        </w:rPr>
        <w:t xml:space="preserve">嘉兴禾采联综合采购服务平台联系电话：0573-82816090。 </w:t>
      </w:r>
    </w:p>
    <w:p w14:paraId="30D8A180">
      <w:pPr>
        <w:spacing w:line="360" w:lineRule="auto"/>
        <w:ind w:firstLine="420" w:firstLineChars="200"/>
        <w:rPr>
          <w:rFonts w:hint="eastAsia" w:cs="宋体"/>
          <w:color w:val="auto"/>
          <w:szCs w:val="21"/>
          <w:highlight w:val="none"/>
        </w:rPr>
      </w:pPr>
      <w:r>
        <w:rPr>
          <w:rFonts w:hint="eastAsia" w:cs="宋体"/>
          <w:color w:val="auto"/>
          <w:szCs w:val="21"/>
          <w:highlight w:val="none"/>
        </w:rPr>
        <w:t>嘉兴禾采联综合采购服务平台技术支持电话：0573-82813680</w:t>
      </w:r>
    </w:p>
    <w:p w14:paraId="6ABB232E">
      <w:pPr>
        <w:spacing w:line="360" w:lineRule="auto"/>
        <w:ind w:firstLine="422" w:firstLineChars="200"/>
        <w:rPr>
          <w:rFonts w:hint="eastAsia" w:cs="宋体"/>
          <w:b/>
          <w:bCs/>
          <w:color w:val="auto"/>
          <w:szCs w:val="21"/>
          <w:highlight w:val="none"/>
        </w:rPr>
      </w:pPr>
      <w:r>
        <w:rPr>
          <w:rFonts w:hint="eastAsia" w:cs="宋体"/>
          <w:b/>
          <w:bCs/>
          <w:color w:val="auto"/>
          <w:szCs w:val="21"/>
          <w:highlight w:val="none"/>
        </w:rPr>
        <w:t>八、招标公告发布于：</w:t>
      </w:r>
    </w:p>
    <w:p w14:paraId="66E83769">
      <w:pPr>
        <w:spacing w:line="360" w:lineRule="auto"/>
        <w:ind w:firstLine="420" w:firstLineChars="200"/>
        <w:rPr>
          <w:rFonts w:hint="eastAsia" w:cs="宋体"/>
          <w:color w:val="auto"/>
          <w:szCs w:val="21"/>
          <w:highlight w:val="none"/>
        </w:rPr>
      </w:pPr>
      <w:r>
        <w:rPr>
          <w:rFonts w:hint="eastAsia" w:cs="宋体"/>
          <w:color w:val="auto"/>
          <w:szCs w:val="21"/>
          <w:highlight w:val="none"/>
        </w:rPr>
        <w:t>本次公开招标公告在嘉兴禾采联综合采购服务平台（http://www.jxcqgs.cn/jxcqcg/）、嘉兴市公共资源交易中心网（http://jxszwsjb.jiaxing.gov.cn/）和嘉兴市交通投资集团有限责任公司网站（http://www.jxjtjt.cn/）上同时发布。</w:t>
      </w:r>
    </w:p>
    <w:p w14:paraId="7B4C12A4">
      <w:pPr>
        <w:spacing w:line="360" w:lineRule="auto"/>
        <w:ind w:firstLine="422" w:firstLineChars="200"/>
        <w:rPr>
          <w:rFonts w:hint="eastAsia" w:cs="宋体"/>
          <w:color w:val="auto"/>
          <w:szCs w:val="21"/>
          <w:highlight w:val="none"/>
        </w:rPr>
      </w:pPr>
      <w:r>
        <w:rPr>
          <w:rFonts w:hint="eastAsia" w:cs="宋体"/>
          <w:b/>
          <w:bCs/>
          <w:color w:val="auto"/>
          <w:szCs w:val="21"/>
          <w:highlight w:val="none"/>
        </w:rPr>
        <w:t>九、业务咨询：</w:t>
      </w:r>
    </w:p>
    <w:p w14:paraId="3AE016C8">
      <w:pPr>
        <w:spacing w:line="360" w:lineRule="auto"/>
        <w:ind w:firstLine="420" w:firstLineChars="200"/>
        <w:rPr>
          <w:rFonts w:hint="eastAsia" w:cs="宋体"/>
          <w:color w:val="auto"/>
          <w:szCs w:val="21"/>
          <w:highlight w:val="none"/>
        </w:rPr>
      </w:pPr>
      <w:r>
        <w:rPr>
          <w:rFonts w:hint="eastAsia" w:cs="宋体"/>
          <w:color w:val="auto"/>
          <w:szCs w:val="21"/>
          <w:highlight w:val="none"/>
        </w:rPr>
        <w:t>招 标 人：杭州湾绿色养护（嘉兴）股份有限公司</w:t>
      </w:r>
    </w:p>
    <w:p w14:paraId="6A964837">
      <w:pPr>
        <w:spacing w:line="360" w:lineRule="auto"/>
        <w:ind w:firstLine="420" w:firstLineChars="200"/>
        <w:rPr>
          <w:rFonts w:hint="eastAsia" w:cs="宋体"/>
          <w:color w:val="auto"/>
          <w:szCs w:val="21"/>
          <w:highlight w:val="none"/>
        </w:rPr>
      </w:pPr>
      <w:r>
        <w:rPr>
          <w:rFonts w:hint="eastAsia" w:cs="宋体"/>
          <w:color w:val="auto"/>
          <w:szCs w:val="21"/>
          <w:highlight w:val="none"/>
        </w:rPr>
        <w:t>地    址：浙江省嘉兴市港区赵亭路68号</w:t>
      </w:r>
    </w:p>
    <w:p w14:paraId="50F2F15E">
      <w:pPr>
        <w:spacing w:line="360" w:lineRule="auto"/>
        <w:ind w:firstLine="420" w:firstLineChars="200"/>
        <w:rPr>
          <w:rFonts w:cs="宋体"/>
          <w:color w:val="auto"/>
          <w:szCs w:val="21"/>
          <w:highlight w:val="none"/>
        </w:rPr>
      </w:pPr>
      <w:r>
        <w:rPr>
          <w:rFonts w:hint="eastAsia" w:cs="宋体"/>
          <w:color w:val="auto"/>
          <w:szCs w:val="21"/>
          <w:highlight w:val="none"/>
        </w:rPr>
        <w:t>联 系 人：丁先生</w:t>
      </w:r>
    </w:p>
    <w:p w14:paraId="100908DC">
      <w:pPr>
        <w:spacing w:line="360" w:lineRule="auto"/>
        <w:ind w:firstLine="420" w:firstLineChars="200"/>
        <w:rPr>
          <w:rFonts w:hint="eastAsia" w:cs="宋体"/>
          <w:color w:val="auto"/>
          <w:szCs w:val="21"/>
          <w:highlight w:val="none"/>
        </w:rPr>
      </w:pPr>
      <w:r>
        <w:rPr>
          <w:rFonts w:hint="eastAsia" w:cs="宋体"/>
          <w:color w:val="auto"/>
          <w:szCs w:val="21"/>
          <w:highlight w:val="none"/>
        </w:rPr>
        <w:t>电    话：15868952818</w:t>
      </w:r>
    </w:p>
    <w:p w14:paraId="4D81FC07">
      <w:pPr>
        <w:spacing w:line="360" w:lineRule="auto"/>
        <w:ind w:firstLine="420" w:firstLineChars="200"/>
        <w:rPr>
          <w:rFonts w:hint="eastAsia" w:cs="宋体"/>
          <w:color w:val="auto"/>
          <w:szCs w:val="21"/>
          <w:highlight w:val="none"/>
        </w:rPr>
      </w:pPr>
    </w:p>
    <w:p w14:paraId="239E15E0">
      <w:pPr>
        <w:spacing w:line="360" w:lineRule="auto"/>
        <w:ind w:firstLine="420" w:firstLineChars="200"/>
        <w:rPr>
          <w:rFonts w:hint="eastAsia"/>
          <w:color w:val="auto"/>
          <w:szCs w:val="21"/>
          <w:highlight w:val="none"/>
        </w:rPr>
      </w:pPr>
    </w:p>
    <w:p w14:paraId="4CB4B806">
      <w:pPr>
        <w:spacing w:line="360" w:lineRule="auto"/>
        <w:ind w:firstLine="420" w:firstLineChars="200"/>
        <w:rPr>
          <w:rFonts w:hint="eastAsia"/>
          <w:color w:val="auto"/>
          <w:szCs w:val="21"/>
          <w:highlight w:val="none"/>
        </w:rPr>
      </w:pPr>
      <w:r>
        <w:rPr>
          <w:rFonts w:hint="eastAsia"/>
          <w:color w:val="auto"/>
          <w:szCs w:val="21"/>
          <w:highlight w:val="none"/>
        </w:rPr>
        <w:t>监督部门：杭州湾绿色养护（嘉兴）股份有限公司办公室</w:t>
      </w:r>
    </w:p>
    <w:p w14:paraId="227FEFC1">
      <w:pPr>
        <w:spacing w:line="360" w:lineRule="auto"/>
        <w:ind w:firstLine="420" w:firstLineChars="200"/>
        <w:rPr>
          <w:rFonts w:hint="eastAsia"/>
          <w:color w:val="auto"/>
          <w:szCs w:val="21"/>
          <w:highlight w:val="none"/>
        </w:rPr>
      </w:pPr>
      <w:r>
        <w:rPr>
          <w:rFonts w:hint="eastAsia"/>
          <w:color w:val="auto"/>
          <w:szCs w:val="21"/>
          <w:highlight w:val="none"/>
        </w:rPr>
        <w:t>联    址：</w:t>
      </w:r>
      <w:r>
        <w:rPr>
          <w:rFonts w:hint="eastAsia" w:cs="宋体"/>
          <w:color w:val="auto"/>
          <w:szCs w:val="21"/>
          <w:highlight w:val="none"/>
        </w:rPr>
        <w:t>浙江省嘉兴市港区赵亭路68号</w:t>
      </w:r>
    </w:p>
    <w:p w14:paraId="3EBD9911">
      <w:pPr>
        <w:spacing w:line="360" w:lineRule="auto"/>
        <w:ind w:firstLine="420" w:firstLineChars="200"/>
        <w:rPr>
          <w:rFonts w:hint="eastAsia" w:cs="宋体"/>
          <w:color w:val="auto"/>
          <w:szCs w:val="21"/>
          <w:highlight w:val="none"/>
        </w:rPr>
      </w:pPr>
      <w:r>
        <w:rPr>
          <w:rFonts w:hint="eastAsia"/>
          <w:color w:val="auto"/>
          <w:szCs w:val="21"/>
          <w:highlight w:val="none"/>
        </w:rPr>
        <w:t>电    话：</w:t>
      </w:r>
      <w:r>
        <w:rPr>
          <w:rFonts w:hint="eastAsia" w:cs="宋体"/>
          <w:color w:val="auto"/>
          <w:szCs w:val="21"/>
          <w:highlight w:val="none"/>
        </w:rPr>
        <w:t>0573-85638680</w:t>
      </w:r>
    </w:p>
    <w:p w14:paraId="03A7B5BA">
      <w:pPr>
        <w:spacing w:line="360" w:lineRule="auto"/>
        <w:ind w:firstLine="420" w:firstLineChars="200"/>
        <w:rPr>
          <w:rFonts w:hint="eastAsia"/>
          <w:color w:val="auto"/>
          <w:szCs w:val="21"/>
          <w:highlight w:val="none"/>
        </w:rPr>
      </w:pPr>
    </w:p>
    <w:p w14:paraId="364908EF">
      <w:pPr>
        <w:spacing w:line="360" w:lineRule="auto"/>
        <w:ind w:firstLine="420" w:firstLineChars="200"/>
        <w:rPr>
          <w:color w:val="auto"/>
          <w:szCs w:val="21"/>
          <w:highlight w:val="none"/>
        </w:rPr>
      </w:pPr>
      <w:r>
        <w:rPr>
          <w:rFonts w:hint="eastAsia"/>
          <w:color w:val="auto"/>
          <w:szCs w:val="21"/>
          <w:highlight w:val="none"/>
        </w:rPr>
        <w:t>嘉兴禾采联综合采购服务平台联系电话：0573-82816090</w:t>
      </w:r>
    </w:p>
    <w:p w14:paraId="61A63B57">
      <w:pPr>
        <w:spacing w:line="360" w:lineRule="auto"/>
        <w:ind w:firstLine="420" w:firstLineChars="200"/>
        <w:rPr>
          <w:rFonts w:hint="eastAsia" w:cs="宋体"/>
          <w:color w:val="auto"/>
          <w:szCs w:val="21"/>
          <w:highlight w:val="none"/>
        </w:rPr>
      </w:pPr>
      <w:r>
        <w:rPr>
          <w:rFonts w:hint="eastAsia"/>
          <w:color w:val="auto"/>
          <w:szCs w:val="21"/>
          <w:highlight w:val="none"/>
        </w:rPr>
        <w:t>嘉兴禾采联综合采购服务平台技术支持电话：0573-82813680</w:t>
      </w:r>
    </w:p>
    <w:p w14:paraId="1AFA296C">
      <w:pPr>
        <w:spacing w:line="360" w:lineRule="auto"/>
        <w:ind w:firstLine="643" w:firstLineChars="200"/>
        <w:jc w:val="center"/>
        <w:rPr>
          <w:rFonts w:cs="宋体"/>
          <w:b/>
          <w:bCs/>
          <w:color w:val="auto"/>
          <w:sz w:val="32"/>
          <w:szCs w:val="32"/>
          <w:highlight w:val="none"/>
        </w:rPr>
      </w:pPr>
    </w:p>
    <w:p w14:paraId="4E4328FD"/>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38656">
    <w:pPr>
      <w:pStyle w:val="3"/>
      <w:ind w:right="360"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4F83275">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74F83275">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310C5D"/>
    <w:multiLevelType w:val="singleLevel"/>
    <w:tmpl w:val="EB310C5D"/>
    <w:lvl w:ilvl="0" w:tentative="0">
      <w:start w:val="1"/>
      <w:numFmt w:val="decimal"/>
      <w:suff w:val="nothing"/>
      <w:lvlText w:val="（%1）"/>
      <w:lvlJc w:val="left"/>
    </w:lvl>
  </w:abstractNum>
  <w:abstractNum w:abstractNumId="1">
    <w:nsid w:val="FBE63439"/>
    <w:multiLevelType w:val="singleLevel"/>
    <w:tmpl w:val="FBE63439"/>
    <w:lvl w:ilvl="0" w:tentative="0">
      <w:start w:val="1"/>
      <w:numFmt w:val="decimal"/>
      <w:suff w:val="nothing"/>
      <w:lvlText w:val="（%1）"/>
      <w:lvlJc w:val="left"/>
    </w:lvl>
  </w:abstractNum>
  <w:abstractNum w:abstractNumId="2">
    <w:nsid w:val="274558B7"/>
    <w:multiLevelType w:val="singleLevel"/>
    <w:tmpl w:val="274558B7"/>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lNDFkOWNiZDg2ZGEyZWRkZDlhZDI1MzY5MjVmZjYifQ=="/>
  </w:docVars>
  <w:rsids>
    <w:rsidRoot w:val="364205C1"/>
    <w:rsid w:val="268967B6"/>
    <w:rsid w:val="364205C1"/>
    <w:rsid w:val="6FA11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footer"/>
    <w:basedOn w:val="1"/>
    <w:qFormat/>
    <w:uiPriority w:val="99"/>
    <w:pPr>
      <w:tabs>
        <w:tab w:val="center" w:pos="4153"/>
        <w:tab w:val="right" w:pos="8306"/>
      </w:tabs>
      <w:snapToGrid w:val="0"/>
      <w:jc w:val="left"/>
    </w:pPr>
    <w:rPr>
      <w:rFonts w:eastAsia="黑体"/>
      <w:snapToGrid w:val="0"/>
      <w:kern w:val="0"/>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
    <w:name w:val="Title"/>
    <w:basedOn w:val="1"/>
    <w:next w:val="1"/>
    <w:qFormat/>
    <w:uiPriority w:val="0"/>
    <w:pPr>
      <w:spacing w:before="240" w:after="6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3524</Words>
  <Characters>4000</Characters>
  <Lines>0</Lines>
  <Paragraphs>0</Paragraphs>
  <TotalTime>0</TotalTime>
  <ScaleCrop>false</ScaleCrop>
  <LinksUpToDate>false</LinksUpToDate>
  <CharactersWithSpaces>4030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2024-11-18T06:23:00Z</dcterms:created>
  <dc:creator>丁星辉</dc:creator>
  <cp:lastModifiedBy>丁星辉</cp:lastModifiedBy>
  <dcterms:modified xsi:type="dcterms:W3CDTF">2024-11-18T06:35:18Z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40FFE54AFDA648D29C010F9BE1959DEF_11</vt:lpwstr>
  </property>
</Properties>
</file>