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FCB3E">
      <w:pPr>
        <w:snapToGrid w:val="0"/>
        <w:spacing w:line="240" w:lineRule="auto"/>
        <w:jc w:val="center"/>
        <w:rPr>
          <w:rFonts w:hint="eastAsia" w:ascii="宋体" w:hAnsi="宋体" w:eastAsia="宋体" w:cs="Arial"/>
          <w:sz w:val="30"/>
          <w:szCs w:val="30"/>
        </w:rPr>
      </w:pPr>
      <w:r>
        <w:rPr>
          <w:rFonts w:hint="eastAsia" w:ascii="宋体" w:hAnsi="宋体" w:eastAsia="宋体" w:cs="Arial"/>
          <w:sz w:val="30"/>
          <w:szCs w:val="30"/>
        </w:rPr>
        <w:t>S207秀洲至仙居公路茜柳路至南北湖互通段改建工程（茜柳路至盐于公路段）原有道路交安设施等拆除及残值回收中标人</w:t>
      </w:r>
      <w:r>
        <w:rPr>
          <w:rFonts w:ascii="宋体" w:hAnsi="宋体" w:eastAsia="宋体" w:cs="Arial"/>
          <w:sz w:val="30"/>
          <w:szCs w:val="30"/>
        </w:rPr>
        <w:t>公示</w:t>
      </w:r>
    </w:p>
    <w:tbl>
      <w:tblPr>
        <w:tblStyle w:val="8"/>
        <w:tblW w:w="9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8"/>
        <w:gridCol w:w="7286"/>
      </w:tblGrid>
      <w:tr w14:paraId="1E592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8" w:type="dxa"/>
            <w:vAlign w:val="center"/>
          </w:tcPr>
          <w:p w14:paraId="1AA4CE9C">
            <w:pPr>
              <w:spacing w:line="360" w:lineRule="auto"/>
              <w:jc w:val="center"/>
              <w:rPr>
                <w:rFonts w:hint="eastAsia" w:ascii="宋体" w:hAnsi="宋体" w:eastAsia="宋体"/>
                <w:szCs w:val="21"/>
              </w:rPr>
            </w:pPr>
            <w:r>
              <w:rPr>
                <w:rFonts w:ascii="宋体" w:hAnsi="宋体" w:eastAsia="宋体" w:cs="Arial"/>
                <w:szCs w:val="21"/>
              </w:rPr>
              <w:t>工程名称</w:t>
            </w:r>
          </w:p>
        </w:tc>
        <w:tc>
          <w:tcPr>
            <w:tcW w:w="7286" w:type="dxa"/>
            <w:vAlign w:val="center"/>
          </w:tcPr>
          <w:p w14:paraId="3F96FC48">
            <w:pPr>
              <w:snapToGrid w:val="0"/>
              <w:spacing w:line="240" w:lineRule="auto"/>
              <w:jc w:val="center"/>
              <w:rPr>
                <w:rFonts w:hint="eastAsia" w:ascii="宋体" w:hAnsi="宋体" w:eastAsia="宋体" w:cs="Arial"/>
                <w:szCs w:val="21"/>
              </w:rPr>
            </w:pPr>
            <w:r>
              <w:rPr>
                <w:rFonts w:hint="eastAsia" w:ascii="宋体" w:hAnsi="宋体" w:eastAsia="宋体" w:cs="Arial"/>
                <w:szCs w:val="21"/>
              </w:rPr>
              <w:t>S207秀洲至仙居公路茜柳路至南北湖互通段改建工程（茜柳路至盐于公路段）原有道路交安设施等拆除及残值回收</w:t>
            </w:r>
          </w:p>
        </w:tc>
      </w:tr>
      <w:tr w14:paraId="6E8A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8" w:type="dxa"/>
            <w:vAlign w:val="center"/>
          </w:tcPr>
          <w:p w14:paraId="5D1A8C40">
            <w:pPr>
              <w:snapToGrid w:val="0"/>
              <w:spacing w:line="240" w:lineRule="auto"/>
              <w:jc w:val="center"/>
              <w:rPr>
                <w:rFonts w:hint="eastAsia" w:ascii="宋体" w:hAnsi="宋体" w:eastAsia="宋体"/>
                <w:szCs w:val="21"/>
              </w:rPr>
            </w:pPr>
            <w:r>
              <w:rPr>
                <w:rFonts w:ascii="宋体" w:hAnsi="宋体" w:eastAsia="宋体" w:cs="Arial"/>
                <w:szCs w:val="21"/>
              </w:rPr>
              <w:t>招标人</w:t>
            </w:r>
          </w:p>
        </w:tc>
        <w:tc>
          <w:tcPr>
            <w:tcW w:w="7286" w:type="dxa"/>
            <w:vAlign w:val="center"/>
          </w:tcPr>
          <w:p w14:paraId="5E834F69">
            <w:pPr>
              <w:snapToGrid w:val="0"/>
              <w:spacing w:line="240" w:lineRule="auto"/>
              <w:jc w:val="center"/>
              <w:rPr>
                <w:rFonts w:hint="eastAsia" w:ascii="宋体" w:hAnsi="宋体" w:eastAsia="宋体"/>
                <w:szCs w:val="21"/>
              </w:rPr>
            </w:pPr>
            <w:r>
              <w:rPr>
                <w:rFonts w:hint="eastAsia" w:ascii="宋体" w:hAnsi="宋体" w:eastAsia="宋体" w:cs="Arial"/>
                <w:szCs w:val="21"/>
              </w:rPr>
              <w:t>嘉兴交通建设开发有限责任公司</w:t>
            </w:r>
          </w:p>
        </w:tc>
      </w:tr>
      <w:tr w14:paraId="4164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2318" w:type="dxa"/>
            <w:vAlign w:val="center"/>
          </w:tcPr>
          <w:p w14:paraId="4C85E18B">
            <w:pPr>
              <w:spacing w:line="300" w:lineRule="exact"/>
              <w:jc w:val="center"/>
              <w:rPr>
                <w:rFonts w:hint="eastAsia" w:ascii="宋体" w:hAnsi="宋体" w:eastAsia="宋体" w:cs="Arial"/>
                <w:szCs w:val="21"/>
              </w:rPr>
            </w:pPr>
            <w:r>
              <w:rPr>
                <w:rFonts w:hint="eastAsia" w:ascii="宋体" w:hAnsi="宋体" w:eastAsia="宋体" w:cs="Arial"/>
                <w:szCs w:val="21"/>
              </w:rPr>
              <w:t>工程规模</w:t>
            </w:r>
          </w:p>
        </w:tc>
        <w:tc>
          <w:tcPr>
            <w:tcW w:w="7286" w:type="dxa"/>
            <w:vAlign w:val="center"/>
          </w:tcPr>
          <w:p w14:paraId="410829E6">
            <w:pPr>
              <w:widowControl/>
              <w:snapToGrid w:val="0"/>
              <w:spacing w:line="240" w:lineRule="auto"/>
              <w:ind w:firstLine="420" w:firstLineChars="200"/>
              <w:jc w:val="left"/>
              <w:rPr>
                <w:rFonts w:hint="eastAsia" w:ascii="宋体" w:hAnsi="宋体" w:eastAsia="宋体" w:cs="Arial"/>
                <w:szCs w:val="21"/>
              </w:rPr>
            </w:pPr>
            <w:r>
              <w:rPr>
                <w:rFonts w:hint="eastAsia" w:ascii="宋体" w:hAnsi="宋体" w:eastAsia="宋体" w:cs="Arial"/>
                <w:szCs w:val="21"/>
              </w:rPr>
              <w:t>项目路线全长约 18.75 公里。根据建设内容分为三段：（一）茜柳路至南湖海盐交界段长 4.15 公里，新建主线高架桥 2844.53 米/2 座，分离式立交桥 1245.36 米/2 座，匝道桥 781米/2 座，改造利用地面桥梁 258.16 米/4 座；设互通式立交 1 处。（二）南湖海盐交界至盐于公路段长 10.99 公里，新建匝道桥 1954.04 米/7 座，改造利用地面桥梁 445.48 米/12 座，新建地面桥梁 31.04 米/1 座；设互通式立交 2 处。（三）盐于公路至南北湖互通段长 3.61 公里，利用大桥 549米/1 座，新建跨线桥 479 米/1 座，新建通道桥 33 米/1 座，拼宽利用桥梁 133.82 米/3 座，拆除重建桥梁 50 米/2 座；设互通式立交 1 处。技术标准:采用《公路工程技术标准》（JTGB01-2014）中一级公路技术标准，兼顾城市道路功能。主线设计速度 100 公里/小时，双向六车道，桥梁宽度 27 米；地面道路设计速度 80 公里/小时，双向六车道，路基宽度 37 米；互通匝道设计速度 40 公里/小时。</w:t>
            </w:r>
          </w:p>
          <w:p w14:paraId="67C156DA">
            <w:pPr>
              <w:widowControl/>
              <w:snapToGrid w:val="0"/>
              <w:spacing w:line="240" w:lineRule="auto"/>
              <w:ind w:firstLine="420" w:firstLineChars="200"/>
              <w:jc w:val="left"/>
              <w:rPr>
                <w:rFonts w:hint="eastAsia" w:ascii="宋体" w:hAnsi="宋体" w:eastAsia="宋体" w:cs="Arial"/>
                <w:szCs w:val="21"/>
              </w:rPr>
            </w:pPr>
            <w:r>
              <w:rPr>
                <w:rFonts w:hint="eastAsia" w:ascii="宋体" w:hAnsi="宋体" w:eastAsia="宋体" w:cs="Arial"/>
                <w:szCs w:val="21"/>
              </w:rPr>
              <w:t>本次招标范围内项目概况：茜柳路至南湖海盐交界段（K7+370～K11+517.035）位于南湖区，沿原有嘉南公路布线，起点位于茜柳路与本项目平面交叉处，终点位于南湖区与海盐县交界处。本段主要实施内容为主线高架桥、地面道路及互通匝道，茜柳路至南湖海盐交界段长 4.15 公里，新建主线高架桥 2844.53 米/2 座，分离式立交桥 1245.36 米/2 座，匝道桥 781米/2 座，改造利用地面桥梁 258.16 米/4 座；设互通式立交 1 处。上跨运营乍嘉苏高速公路，高架+地面道路建设形式，主线高架桥、匝道桥：上部结构采用25m、30m小箱梁及40、50、60米钢混组合梁，下部采用柱式墩及Y型墩柱，基础采用桩基础。跨乍嘉苏高速左右辅道桥：上部结构主要采用25m、30m小箱梁及跨径80米钢桁架梁,下部采用柱式墩及墙式柱，基础采用桩基础。辅道、地面桥梁：上部结构采用空心板，下部采用柱式墩、基础采用桩基础。建安造价约8.374亿元。技术标准:采用《公路工程技术标准》（JTGB01-2014）中一级公路技术标准，兼顾城市道路功能。主线设计速度 100 公里/小时，双向六车道，桥梁宽度 27 米；地面道路设计速度 80 公里/小时，双向六车道，路基宽度 37 米；互通匝道设计速度 40 公里/小时。</w:t>
            </w:r>
          </w:p>
        </w:tc>
      </w:tr>
      <w:tr w14:paraId="70E58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8" w:type="dxa"/>
            <w:vAlign w:val="center"/>
          </w:tcPr>
          <w:p w14:paraId="4A8B5166">
            <w:pPr>
              <w:spacing w:line="360" w:lineRule="auto"/>
              <w:jc w:val="center"/>
              <w:rPr>
                <w:rFonts w:hint="eastAsia" w:ascii="宋体" w:hAnsi="宋体" w:eastAsia="宋体"/>
                <w:szCs w:val="21"/>
              </w:rPr>
            </w:pPr>
            <w:r>
              <w:rPr>
                <w:rFonts w:ascii="宋体" w:hAnsi="宋体" w:eastAsia="宋体" w:cs="Arial"/>
                <w:szCs w:val="21"/>
              </w:rPr>
              <w:t>中标单位</w:t>
            </w:r>
          </w:p>
        </w:tc>
        <w:tc>
          <w:tcPr>
            <w:tcW w:w="7286" w:type="dxa"/>
            <w:vAlign w:val="center"/>
          </w:tcPr>
          <w:p w14:paraId="5DBE8447">
            <w:pPr>
              <w:spacing w:line="360" w:lineRule="auto"/>
              <w:jc w:val="center"/>
              <w:rPr>
                <w:rFonts w:hint="eastAsia" w:ascii="宋体" w:hAnsi="宋体" w:eastAsia="宋体"/>
                <w:szCs w:val="21"/>
              </w:rPr>
            </w:pPr>
            <w:r>
              <w:rPr>
                <w:rFonts w:hint="eastAsia" w:ascii="宋体" w:hAnsi="宋体" w:eastAsia="宋体"/>
                <w:szCs w:val="21"/>
                <w:lang w:val="en-US" w:eastAsia="zh-CN"/>
              </w:rPr>
              <w:t>浙江宏跃科技有限公司</w:t>
            </w:r>
          </w:p>
        </w:tc>
      </w:tr>
      <w:tr w14:paraId="38904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8" w:type="dxa"/>
            <w:vAlign w:val="center"/>
          </w:tcPr>
          <w:p w14:paraId="30E87BA0">
            <w:pPr>
              <w:spacing w:line="360" w:lineRule="auto"/>
              <w:jc w:val="center"/>
              <w:rPr>
                <w:rFonts w:hint="eastAsia" w:ascii="宋体" w:hAnsi="宋体" w:eastAsia="宋体"/>
                <w:szCs w:val="21"/>
              </w:rPr>
            </w:pPr>
            <w:r>
              <w:rPr>
                <w:rFonts w:ascii="宋体" w:hAnsi="宋体" w:eastAsia="宋体" w:cs="Arial"/>
                <w:szCs w:val="21"/>
              </w:rPr>
              <w:t>中标价格</w:t>
            </w:r>
          </w:p>
        </w:tc>
        <w:tc>
          <w:tcPr>
            <w:tcW w:w="7286" w:type="dxa"/>
            <w:vAlign w:val="center"/>
          </w:tcPr>
          <w:p w14:paraId="61DB63CB">
            <w:pPr>
              <w:spacing w:line="360" w:lineRule="auto"/>
              <w:jc w:val="center"/>
              <w:rPr>
                <w:rFonts w:hint="eastAsia" w:ascii="宋体" w:hAnsi="宋体" w:eastAsia="宋体"/>
                <w:szCs w:val="21"/>
              </w:rPr>
            </w:pPr>
            <w:r>
              <w:rPr>
                <w:rFonts w:hint="eastAsia" w:ascii="宋体" w:hAnsi="宋体" w:eastAsia="宋体" w:cs="Arial"/>
                <w:szCs w:val="21"/>
                <w:lang w:val="en-US" w:eastAsia="zh-CN"/>
              </w:rPr>
              <w:t>-710670</w:t>
            </w:r>
            <w:r>
              <w:rPr>
                <w:rFonts w:ascii="宋体" w:hAnsi="宋体" w:eastAsia="宋体" w:cs="Arial"/>
                <w:szCs w:val="21"/>
              </w:rPr>
              <w:t>元</w:t>
            </w:r>
            <w:r>
              <w:rPr>
                <w:rFonts w:hint="eastAsia" w:ascii="宋体" w:hAnsi="宋体" w:eastAsia="宋体" w:cs="Arial"/>
                <w:szCs w:val="21"/>
                <w:lang w:eastAsia="zh-CN"/>
              </w:rPr>
              <w:t>（</w:t>
            </w:r>
            <w:r>
              <w:rPr>
                <w:rFonts w:hint="eastAsia" w:ascii="宋体" w:hAnsi="宋体" w:eastAsia="宋体" w:cs="Arial"/>
                <w:szCs w:val="21"/>
                <w:lang w:val="en-US" w:eastAsia="zh-CN"/>
              </w:rPr>
              <w:t>负柒拾壹万零陆佰柒拾元</w:t>
            </w:r>
            <w:r>
              <w:rPr>
                <w:rFonts w:hint="eastAsia" w:ascii="宋体" w:hAnsi="宋体" w:eastAsia="宋体" w:cs="Arial"/>
                <w:szCs w:val="21"/>
                <w:lang w:eastAsia="zh-CN"/>
              </w:rPr>
              <w:t>）</w:t>
            </w:r>
          </w:p>
        </w:tc>
      </w:tr>
      <w:tr w14:paraId="133D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8" w:type="dxa"/>
            <w:vAlign w:val="center"/>
          </w:tcPr>
          <w:p w14:paraId="11BBA94B">
            <w:pPr>
              <w:spacing w:line="360" w:lineRule="auto"/>
              <w:jc w:val="center"/>
              <w:rPr>
                <w:rFonts w:hint="eastAsia" w:ascii="宋体" w:hAnsi="宋体" w:eastAsia="宋体" w:cs="Arial"/>
                <w:szCs w:val="21"/>
              </w:rPr>
            </w:pPr>
            <w:r>
              <w:rPr>
                <w:rFonts w:hint="eastAsia" w:ascii="宋体" w:hAnsi="宋体" w:eastAsia="宋体" w:cs="Arial"/>
                <w:szCs w:val="21"/>
              </w:rPr>
              <w:t>项目负责人</w:t>
            </w:r>
          </w:p>
        </w:tc>
        <w:tc>
          <w:tcPr>
            <w:tcW w:w="7286" w:type="dxa"/>
            <w:vAlign w:val="center"/>
          </w:tcPr>
          <w:p w14:paraId="675A6E12">
            <w:pPr>
              <w:spacing w:line="360" w:lineRule="auto"/>
              <w:jc w:val="center"/>
              <w:rPr>
                <w:rFonts w:hint="eastAsia" w:ascii="宋体" w:hAnsi="宋体" w:eastAsia="宋体" w:cs="Arial"/>
                <w:szCs w:val="21"/>
              </w:rPr>
            </w:pPr>
            <w:r>
              <w:rPr>
                <w:rFonts w:hint="eastAsia" w:ascii="宋体" w:hAnsi="宋体" w:eastAsia="宋体" w:cs="Arial"/>
                <w:szCs w:val="21"/>
                <w:lang w:val="en-US" w:eastAsia="zh-CN"/>
              </w:rPr>
              <w:t>徐海波</w:t>
            </w:r>
          </w:p>
        </w:tc>
      </w:tr>
      <w:tr w14:paraId="09821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18" w:type="dxa"/>
            <w:vAlign w:val="center"/>
          </w:tcPr>
          <w:p w14:paraId="3E76DE98">
            <w:pPr>
              <w:snapToGrid w:val="0"/>
              <w:spacing w:line="240" w:lineRule="auto"/>
              <w:jc w:val="center"/>
              <w:rPr>
                <w:rFonts w:hint="eastAsia" w:ascii="宋体" w:hAnsi="宋体" w:eastAsia="宋体" w:cs="Arial"/>
                <w:szCs w:val="21"/>
              </w:rPr>
            </w:pPr>
            <w:r>
              <w:rPr>
                <w:rFonts w:hint="eastAsia" w:ascii="宋体" w:hAnsi="宋体" w:eastAsia="宋体" w:cs="Arial"/>
                <w:szCs w:val="21"/>
              </w:rPr>
              <w:t>项目经理（负责人）资质证书及编号</w:t>
            </w:r>
          </w:p>
        </w:tc>
        <w:tc>
          <w:tcPr>
            <w:tcW w:w="7286" w:type="dxa"/>
            <w:vAlign w:val="center"/>
          </w:tcPr>
          <w:p w14:paraId="3064CA70">
            <w:pPr>
              <w:snapToGrid w:val="0"/>
              <w:spacing w:line="240" w:lineRule="auto"/>
              <w:jc w:val="center"/>
              <w:rPr>
                <w:rFonts w:hint="eastAsia" w:ascii="宋体" w:hAnsi="宋体" w:eastAsia="宋体" w:cs="Arial"/>
                <w:szCs w:val="21"/>
                <w:lang w:val="en-US" w:eastAsia="zh-CN"/>
              </w:rPr>
            </w:pPr>
            <w:r>
              <w:rPr>
                <w:rFonts w:hint="eastAsia" w:ascii="宋体" w:hAnsi="宋体" w:eastAsia="宋体" w:cs="Arial"/>
                <w:szCs w:val="21"/>
                <w:lang w:val="en-US" w:eastAsia="zh-CN"/>
              </w:rPr>
              <w:t>公路工程二级注册建造师（证书编号：浙2332016202311791）</w:t>
            </w:r>
          </w:p>
          <w:p w14:paraId="0099CD76">
            <w:pPr>
              <w:snapToGrid w:val="0"/>
              <w:spacing w:line="240" w:lineRule="auto"/>
              <w:jc w:val="center"/>
              <w:rPr>
                <w:rFonts w:hint="eastAsia" w:ascii="宋体" w:hAnsi="宋体" w:eastAsia="宋体" w:cs="Arial"/>
                <w:szCs w:val="21"/>
              </w:rPr>
            </w:pPr>
            <w:r>
              <w:rPr>
                <w:rFonts w:hint="eastAsia" w:ascii="宋体" w:hAnsi="宋体" w:eastAsia="宋体" w:cs="Arial"/>
                <w:szCs w:val="21"/>
                <w:lang w:val="en-US" w:eastAsia="zh-CN"/>
              </w:rPr>
              <w:t>公路水运工程施工企业主要负责人和安全生产管理人员安全生产考核合格证书（证书编号：浙交安B21G06580）</w:t>
            </w:r>
          </w:p>
        </w:tc>
      </w:tr>
      <w:tr w14:paraId="486F8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8" w:type="dxa"/>
            <w:vAlign w:val="center"/>
          </w:tcPr>
          <w:p w14:paraId="5FC0A982">
            <w:pPr>
              <w:spacing w:line="360" w:lineRule="auto"/>
              <w:jc w:val="center"/>
              <w:rPr>
                <w:rFonts w:hint="eastAsia" w:ascii="宋体" w:hAnsi="宋体" w:eastAsia="宋体" w:cs="Arial"/>
                <w:szCs w:val="21"/>
              </w:rPr>
            </w:pPr>
            <w:r>
              <w:rPr>
                <w:rFonts w:hint="eastAsia" w:ascii="宋体" w:hAnsi="宋体" w:cs="宋体"/>
                <w:color w:val="333333"/>
                <w:kern w:val="0"/>
                <w:lang w:bidi="ar"/>
              </w:rPr>
              <w:t>工期</w:t>
            </w:r>
          </w:p>
        </w:tc>
        <w:tc>
          <w:tcPr>
            <w:tcW w:w="7286" w:type="dxa"/>
            <w:vAlign w:val="center"/>
          </w:tcPr>
          <w:p w14:paraId="7D33D496">
            <w:pPr>
              <w:spacing w:line="360" w:lineRule="auto"/>
              <w:jc w:val="center"/>
              <w:rPr>
                <w:rFonts w:hint="eastAsia" w:ascii="宋体" w:hAnsi="宋体" w:eastAsia="宋体" w:cs="Arial"/>
                <w:szCs w:val="21"/>
              </w:rPr>
            </w:pPr>
            <w:r>
              <w:rPr>
                <w:rFonts w:hint="eastAsia" w:ascii="宋体" w:hAnsi="宋体" w:eastAsia="宋体" w:cs="Arial"/>
                <w:szCs w:val="21"/>
              </w:rPr>
              <w:t>12个月（具体以配合土建施工推进的需要实施为准）。</w:t>
            </w:r>
          </w:p>
        </w:tc>
      </w:tr>
      <w:tr w14:paraId="3475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18" w:type="dxa"/>
            <w:vAlign w:val="center"/>
          </w:tcPr>
          <w:p w14:paraId="78DD9E83">
            <w:pPr>
              <w:snapToGrid w:val="0"/>
              <w:spacing w:line="240" w:lineRule="auto"/>
              <w:jc w:val="center"/>
              <w:rPr>
                <w:rFonts w:hint="eastAsia" w:ascii="宋体" w:hAnsi="宋体" w:eastAsia="宋体"/>
                <w:szCs w:val="21"/>
              </w:rPr>
            </w:pPr>
            <w:bookmarkStart w:id="0" w:name="_GoBack" w:colFirst="0" w:colLast="1"/>
            <w:r>
              <w:rPr>
                <w:rFonts w:ascii="宋体" w:hAnsi="宋体" w:eastAsia="宋体" w:cs="Arial"/>
                <w:szCs w:val="21"/>
              </w:rPr>
              <w:t>响应招标文件资格能力条件</w:t>
            </w:r>
          </w:p>
        </w:tc>
        <w:tc>
          <w:tcPr>
            <w:tcW w:w="7286" w:type="dxa"/>
            <w:vAlign w:val="center"/>
          </w:tcPr>
          <w:p w14:paraId="77654228">
            <w:pPr>
              <w:snapToGrid w:val="0"/>
              <w:spacing w:line="240" w:lineRule="auto"/>
              <w:jc w:val="center"/>
              <w:rPr>
                <w:rFonts w:hint="eastAsia" w:ascii="宋体" w:hAnsi="宋体" w:eastAsia="宋体"/>
                <w:szCs w:val="21"/>
              </w:rPr>
            </w:pPr>
            <w:r>
              <w:rPr>
                <w:rFonts w:hint="eastAsia" w:ascii="宋体" w:hAnsi="宋体" w:eastAsia="宋体"/>
                <w:szCs w:val="21"/>
                <w:lang w:val="en-US" w:eastAsia="zh-CN"/>
              </w:rPr>
              <w:t>具有独立法人资格；具有公路交通工程（公路安全设施）专业承包贰级资质；具有有效期内的安全生产许可证</w:t>
            </w:r>
          </w:p>
        </w:tc>
      </w:tr>
      <w:bookmarkEnd w:id="0"/>
      <w:tr w14:paraId="295F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8" w:type="dxa"/>
            <w:vAlign w:val="center"/>
          </w:tcPr>
          <w:p w14:paraId="28DFF75E">
            <w:pPr>
              <w:snapToGrid w:val="0"/>
              <w:spacing w:line="240" w:lineRule="auto"/>
              <w:jc w:val="center"/>
              <w:rPr>
                <w:rFonts w:hint="eastAsia" w:ascii="宋体" w:hAnsi="宋体" w:eastAsia="宋体"/>
                <w:szCs w:val="21"/>
              </w:rPr>
            </w:pPr>
            <w:r>
              <w:rPr>
                <w:rFonts w:ascii="宋体" w:hAnsi="宋体" w:eastAsia="宋体" w:cs="Arial"/>
                <w:szCs w:val="21"/>
              </w:rPr>
              <w:t>中标日期</w:t>
            </w:r>
          </w:p>
        </w:tc>
        <w:tc>
          <w:tcPr>
            <w:tcW w:w="7286" w:type="dxa"/>
            <w:vAlign w:val="center"/>
          </w:tcPr>
          <w:p w14:paraId="33218E5E">
            <w:pPr>
              <w:snapToGrid w:val="0"/>
              <w:spacing w:line="240" w:lineRule="auto"/>
              <w:jc w:val="center"/>
              <w:rPr>
                <w:rFonts w:hint="eastAsia" w:ascii="宋体" w:hAnsi="宋体" w:eastAsia="宋体"/>
                <w:szCs w:val="21"/>
              </w:rPr>
            </w:pPr>
            <w:r>
              <w:rPr>
                <w:rFonts w:hint="eastAsia" w:ascii="宋体" w:hAnsi="宋体" w:eastAsia="宋体"/>
                <w:color w:val="333333"/>
                <w:szCs w:val="21"/>
                <w:shd w:val="clear" w:color="auto" w:fill="FFFFFF"/>
              </w:rPr>
              <w:t>2024年10月</w:t>
            </w:r>
            <w:r>
              <w:rPr>
                <w:rFonts w:hint="eastAsia" w:ascii="宋体" w:hAnsi="宋体" w:eastAsia="宋体"/>
                <w:color w:val="333333"/>
                <w:szCs w:val="21"/>
                <w:shd w:val="clear" w:color="auto" w:fill="FFFFFF"/>
                <w:lang w:val="en-US" w:eastAsia="zh-CN"/>
              </w:rPr>
              <w:t>15</w:t>
            </w:r>
            <w:r>
              <w:rPr>
                <w:rFonts w:hint="eastAsia" w:ascii="宋体" w:hAnsi="宋体" w:eastAsia="宋体"/>
                <w:color w:val="333333"/>
                <w:szCs w:val="21"/>
                <w:shd w:val="clear" w:color="auto" w:fill="FFFFFF"/>
              </w:rPr>
              <w:t>日</w:t>
            </w:r>
          </w:p>
        </w:tc>
      </w:tr>
      <w:tr w14:paraId="1CBB5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8" w:type="dxa"/>
            <w:vAlign w:val="center"/>
          </w:tcPr>
          <w:p w14:paraId="4D319449">
            <w:pPr>
              <w:spacing w:line="360" w:lineRule="auto"/>
              <w:jc w:val="center"/>
              <w:rPr>
                <w:rFonts w:hint="eastAsia" w:ascii="宋体" w:hAnsi="宋体" w:eastAsia="宋体"/>
                <w:szCs w:val="21"/>
              </w:rPr>
            </w:pPr>
            <w:r>
              <w:rPr>
                <w:rFonts w:ascii="宋体" w:hAnsi="宋体" w:eastAsia="宋体" w:cs="Arial"/>
                <w:szCs w:val="21"/>
              </w:rPr>
              <w:t>备 注</w:t>
            </w:r>
          </w:p>
        </w:tc>
        <w:tc>
          <w:tcPr>
            <w:tcW w:w="7286" w:type="dxa"/>
            <w:vAlign w:val="center"/>
          </w:tcPr>
          <w:p w14:paraId="02128D17">
            <w:pPr>
              <w:spacing w:line="360" w:lineRule="auto"/>
              <w:jc w:val="center"/>
              <w:rPr>
                <w:rFonts w:hint="eastAsia" w:ascii="宋体" w:hAnsi="宋体" w:eastAsia="宋体"/>
                <w:szCs w:val="21"/>
              </w:rPr>
            </w:pPr>
          </w:p>
        </w:tc>
      </w:tr>
    </w:tbl>
    <w:p w14:paraId="472D6062">
      <w:pPr>
        <w:rPr>
          <w:rFonts w:hint="eastAsia" w:ascii="宋体" w:hAnsi="宋体" w:eastAsia="宋体"/>
          <w:szCs w:val="21"/>
        </w:rPr>
      </w:pPr>
    </w:p>
    <w:sectPr>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YjRlYmY2OGY0NTkwNzc3NWJhNGRiYWJiMTY1N2YifQ=="/>
  </w:docVars>
  <w:rsids>
    <w:rsidRoot w:val="00395D10"/>
    <w:rsid w:val="00016903"/>
    <w:rsid w:val="00040EC2"/>
    <w:rsid w:val="000712C3"/>
    <w:rsid w:val="000A6FE4"/>
    <w:rsid w:val="00105E8C"/>
    <w:rsid w:val="00202455"/>
    <w:rsid w:val="002128FD"/>
    <w:rsid w:val="00233FBF"/>
    <w:rsid w:val="00261AD9"/>
    <w:rsid w:val="002704EE"/>
    <w:rsid w:val="003214EA"/>
    <w:rsid w:val="0032375E"/>
    <w:rsid w:val="00395D10"/>
    <w:rsid w:val="003E4C4A"/>
    <w:rsid w:val="00447CD1"/>
    <w:rsid w:val="004B4DDE"/>
    <w:rsid w:val="00535F74"/>
    <w:rsid w:val="00574479"/>
    <w:rsid w:val="00582E4B"/>
    <w:rsid w:val="006516F0"/>
    <w:rsid w:val="00682C36"/>
    <w:rsid w:val="006A61DD"/>
    <w:rsid w:val="006C2FC8"/>
    <w:rsid w:val="007B0A08"/>
    <w:rsid w:val="0080265E"/>
    <w:rsid w:val="0083498D"/>
    <w:rsid w:val="00836459"/>
    <w:rsid w:val="009C5968"/>
    <w:rsid w:val="00B00F9D"/>
    <w:rsid w:val="00B62E64"/>
    <w:rsid w:val="00BF149D"/>
    <w:rsid w:val="00C80EA2"/>
    <w:rsid w:val="00C92847"/>
    <w:rsid w:val="00CE728A"/>
    <w:rsid w:val="00D9781E"/>
    <w:rsid w:val="00DA0805"/>
    <w:rsid w:val="00DA3F6F"/>
    <w:rsid w:val="00DC715F"/>
    <w:rsid w:val="00E33986"/>
    <w:rsid w:val="00EB58EA"/>
    <w:rsid w:val="00EE5726"/>
    <w:rsid w:val="00F05E2E"/>
    <w:rsid w:val="00F81CB6"/>
    <w:rsid w:val="00FA3264"/>
    <w:rsid w:val="046360D0"/>
    <w:rsid w:val="0AA042D0"/>
    <w:rsid w:val="18D3342B"/>
    <w:rsid w:val="19E87796"/>
    <w:rsid w:val="21FF4FBF"/>
    <w:rsid w:val="2CEF3BCE"/>
    <w:rsid w:val="384A7817"/>
    <w:rsid w:val="3EDD48FE"/>
    <w:rsid w:val="449725C4"/>
    <w:rsid w:val="55B36F68"/>
    <w:rsid w:val="57163441"/>
    <w:rsid w:val="59D75AC1"/>
    <w:rsid w:val="6EF54288"/>
    <w:rsid w:val="73A068C6"/>
    <w:rsid w:val="75EB1DF6"/>
    <w:rsid w:val="780207D3"/>
    <w:rsid w:val="79B43035"/>
    <w:rsid w:val="79BC1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szCs w:val="24"/>
    </w:rPr>
  </w:style>
  <w:style w:type="paragraph" w:styleId="3">
    <w:name w:val="Body Text First Indent"/>
    <w:basedOn w:val="2"/>
    <w:next w:val="2"/>
    <w:qFormat/>
    <w:uiPriority w:val="0"/>
    <w:pPr>
      <w:ind w:firstLine="420" w:firstLineChars="100"/>
    </w:p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批注框文本 字符"/>
    <w:basedOn w:val="9"/>
    <w:link w:val="4"/>
    <w:semiHidden/>
    <w:qFormat/>
    <w:uiPriority w:val="99"/>
    <w:rPr>
      <w:kern w:val="2"/>
      <w:sz w:val="18"/>
      <w:szCs w:val="18"/>
    </w:rPr>
  </w:style>
  <w:style w:type="paragraph" w:customStyle="1" w:styleId="13">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1008</Words>
  <Characters>1180</Characters>
  <Lines>9</Lines>
  <Paragraphs>2</Paragraphs>
  <TotalTime>5</TotalTime>
  <ScaleCrop>false</ScaleCrop>
  <LinksUpToDate>false</LinksUpToDate>
  <CharactersWithSpaces>1266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2022-08-05T02:27:00Z</dcterms:created>
  <dc:creator>周 伟</dc:creator>
  <cp:lastModifiedBy>hw</cp:lastModifiedBy>
  <cp:lastPrinted>2022-11-17T02:31:00Z</cp:lastPrinted>
  <dcterms:modified xsi:type="dcterms:W3CDTF">2024-10-14T09:00:20Z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F07C2286DC344B4693E5BD9A684F9303_13</vt:lpwstr>
  </property>
</Properties>
</file>