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snapToGrid w:val="0"/>
        <w:spacing w:line="240" w:lineRule="auto"/>
        <w:jc w:val="center"/>
        <w:rPr>
          <w:rFonts w:hint="eastAsia"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S207秀洲至仙居公路茜柳路至南北湖互通段改建工程（茜柳路至盐于公路段）原有道路苗木迁移施工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8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7286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1AA4CE9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286" w:type="dxa"/>
            <w:vAlign w:val="center"/>
          </w:tcPr>
          <w:p w14:paraId="3F96FC4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S207秀洲至仙居公路茜柳路至南北湖互通段改建工程（茜柳路至盐于公路段）原有道路苗木迁移施工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5D1A8C40"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286" w:type="dxa"/>
            <w:vAlign w:val="center"/>
          </w:tcPr>
          <w:p w14:paraId="5E834F69"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嘉兴交通建设开发有限责任公司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318" w:type="dxa"/>
            <w:vAlign w:val="center"/>
          </w:tcPr>
          <w:p w14:paraId="4C85E18B">
            <w:pPr>
              <w:spacing w:line="300" w:lineRule="exact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7286" w:type="dxa"/>
            <w:vAlign w:val="center"/>
          </w:tcPr>
          <w:p w14:paraId="10547BF4">
            <w:pPr>
              <w:widowControl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项目路线全长约 18.75 公里。根据建设内容分为三段：（一）茜柳路至南湖海盐交界段长 4.15 公里，新建主线高架桥 2844.53 米/2 座，分离式立交桥 1245.36 米/2 座，匝道桥 781米/2 座，改造利用地面桥梁 258.16 米/4 座；设互通式立交 1 处。（二）南湖海盐交界至盐于公路段长 10.99 公里，新建匝道桥 1954.04 米/7 座，改造利用地面桥梁 445.48 米/12 座，新建地面桥梁 31.04 米/1 座；设互通式立交 2 处。（三）盐于公路至南北湖互通段长 3.61 公里，利用大桥 549米/1 座，新建跨线桥 479 米/1 座，新建通道桥 33 米/1 座，拼宽利用桥梁 133.82 米/3 座，拆除重建桥梁 50 米/2 座；设互通式立交 1 处。</w:t>
            </w:r>
            <w:bookmarkStart w:id="0" w:name="_Hlk178429780"/>
            <w:r>
              <w:rPr>
                <w:rFonts w:hint="eastAsia" w:ascii="宋体" w:hAnsi="宋体" w:eastAsia="宋体" w:cs="Arial"/>
                <w:szCs w:val="21"/>
              </w:rPr>
              <w:t>技术标准:采用《公路工程技术标准》（JTGB01-2014）中一级公路技术标准，兼顾城市道路功能。主线设计速度 100 公里/小时，双向六车道，桥梁宽度 27 米；地面道路设计速度 80 公里/小时，双向六车道，路基宽度 37 米；互通匝道设计速度 40 公里/小时。</w:t>
            </w:r>
          </w:p>
          <w:bookmarkEnd w:id="0"/>
          <w:p w14:paraId="6C6722EE">
            <w:pPr>
              <w:widowControl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次招标范围内项目概况：茜柳路至南湖海盐交界段（K7+370～K11+517.035）位于南湖区，沿原有嘉南公路布线，起点位于茜柳路与本项目平面交叉处，终点位于南湖区与海盐县交界处。本段主要实施内容为主线高架桥、地面道路及互通匝道，茜柳路至南湖海盐交界段长 4.15 公里，新建主线高架桥 2844.53 米/2 座，分离式立交桥 1245.36 米/2 座，匝道桥 781米/2 座，改造利用地面桥梁 258.16 米/4 座；设互通式立交 1 处。上跨运营乍嘉苏高速公路，高架+地面道路建设形式，主线高架桥、匝道桥：上部结构采用25m、30m小箱梁及40、50、60米钢混组合梁，下部采用柱式墩及Y型墩柱，基础采用桩基础。跨乍嘉苏高速左右辅道桥：上部结构主要采用25m、30m小箱梁及跨径80米钢桁架梁,下部采用柱式墩及墙式柱，基础采用桩基础。辅道、地面桥梁：上部结构采用空心板，下部采用柱式墩、基础采用桩基础。建安造价约8.374亿元。技术标准:采用《公路工程技术标准》（JTGB01-2014）中一级公路技术标准，兼顾城市道路功能。主线设计速度 100 公里/小时，双向六车道，桥梁宽度 27 米；地面道路设计速度 80 公里/小时，双向六车道，路基宽度 37 米；互通匝道设计速度 40 公里/小时。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4A8B516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286" w:type="dxa"/>
            <w:vAlign w:val="center"/>
          </w:tcPr>
          <w:p w14:paraId="5DBE844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嘉兴致途建设工程有限公司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30E87BA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286" w:type="dxa"/>
            <w:vAlign w:val="center"/>
          </w:tcPr>
          <w:p w14:paraId="61DB63C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330000元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11BBA94B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7286" w:type="dxa"/>
            <w:vAlign w:val="center"/>
          </w:tcPr>
          <w:p w14:paraId="675A6E1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袁琪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18" w:type="dxa"/>
            <w:vAlign w:val="center"/>
          </w:tcPr>
          <w:p w14:paraId="3E76DE9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7286" w:type="dxa"/>
            <w:vAlign w:val="center"/>
          </w:tcPr>
          <w:p w14:paraId="0099CD7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工程师（风景园林专业）（证书编号：3063384）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bidi="ar"/>
              </w:rPr>
              <w:t>工期</w:t>
            </w:r>
          </w:p>
        </w:tc>
        <w:tc>
          <w:tcPr>
            <w:tcW w:w="7286" w:type="dxa"/>
            <w:vAlign w:val="center"/>
          </w:tcPr>
          <w:p w14:paraId="7D33D49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配合征迁及土建施工推进的需要实施（如投标函必须填写数字，请填写240日历天作为响应招标文件）。</w:t>
            </w:r>
            <w:bookmarkStart w:id="1" w:name="_GoBack"/>
            <w:bookmarkEnd w:id="1"/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vAlign w:val="center"/>
          </w:tcPr>
          <w:p w14:paraId="78DD9E83"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7286" w:type="dxa"/>
            <w:vAlign w:val="center"/>
          </w:tcPr>
          <w:p w14:paraId="77654228"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                                                 业绩：普民路（庆丰路-南江路）绿化工程（合同签订日期：2021年6月1日；合同金额：34.3905万元）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28DFF75E"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286" w:type="dxa"/>
            <w:vAlign w:val="center"/>
          </w:tcPr>
          <w:p w14:paraId="33218E5E"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2024年10月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8" w:type="dxa"/>
            <w:vAlign w:val="center"/>
          </w:tcPr>
          <w:p w14:paraId="4D31944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286" w:type="dxa"/>
            <w:vAlign w:val="center"/>
          </w:tcPr>
          <w:p w14:paraId="02128D1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2375E"/>
    <w:rsid w:val="00395D10"/>
    <w:rsid w:val="003E4C4A"/>
    <w:rsid w:val="00447CD1"/>
    <w:rsid w:val="004B4DDE"/>
    <w:rsid w:val="00535F74"/>
    <w:rsid w:val="00574479"/>
    <w:rsid w:val="00582E4B"/>
    <w:rsid w:val="006516F0"/>
    <w:rsid w:val="00682C36"/>
    <w:rsid w:val="006A61DD"/>
    <w:rsid w:val="006C2FC8"/>
    <w:rsid w:val="007B0A08"/>
    <w:rsid w:val="0080265E"/>
    <w:rsid w:val="0083498D"/>
    <w:rsid w:val="00836459"/>
    <w:rsid w:val="009C5968"/>
    <w:rsid w:val="00B00F9D"/>
    <w:rsid w:val="00B62E64"/>
    <w:rsid w:val="00BF149D"/>
    <w:rsid w:val="00C80EA2"/>
    <w:rsid w:val="00C92847"/>
    <w:rsid w:val="00CE728A"/>
    <w:rsid w:val="00D9781E"/>
    <w:rsid w:val="00DA0805"/>
    <w:rsid w:val="00DA3F6F"/>
    <w:rsid w:val="00DC715F"/>
    <w:rsid w:val="00E33986"/>
    <w:rsid w:val="00EB58EA"/>
    <w:rsid w:val="00EE5726"/>
    <w:rsid w:val="00F05E2E"/>
    <w:rsid w:val="00F81CB6"/>
    <w:rsid w:val="00FA3264"/>
    <w:rsid w:val="046360D0"/>
    <w:rsid w:val="0AA042D0"/>
    <w:rsid w:val="18D3342B"/>
    <w:rsid w:val="19E87796"/>
    <w:rsid w:val="21FF4FBF"/>
    <w:rsid w:val="2CEF3BCE"/>
    <w:rsid w:val="306970C4"/>
    <w:rsid w:val="384A7817"/>
    <w:rsid w:val="3EDD48FE"/>
    <w:rsid w:val="449725C4"/>
    <w:rsid w:val="55B36F68"/>
    <w:rsid w:val="57163441"/>
    <w:rsid w:val="59D75AC1"/>
    <w:rsid w:val="6EF54288"/>
    <w:rsid w:val="73A068C6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1149</Words>
  <Characters>1351</Characters>
  <Lines>9</Lines>
  <Paragraphs>2</Paragraphs>
  <TotalTime>0</TotalTime>
  <ScaleCrop>false</ScaleCrop>
  <LinksUpToDate>false</LinksUpToDate>
  <CharactersWithSpaces>1435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2024-10-21T03:33:33Z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F07C2286DC344B4693E5BD9A684F9303_13</vt:lpwstr>
  </property>
</Properties>
</file>