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Arial"/>
          <w:sz w:val="30"/>
          <w:szCs w:val="30"/>
        </w:rPr>
        <w:t>嘉兴市市区快速路环线工程（三期二阶段）铁路代建段预算审核中标人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6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6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4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嘉兴市市区快速路环线工程（三期二阶段）铁路代建段预算审核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4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20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476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市区快速路环线工程（三期二阶段）铁路代建段实施范围：主线工程范围桩号K21+345-K22+939，长度1594m；地面辅道工程范围为茶园路改造段，长度350m。建安费约54710.98万元（其中市政部分19947.75万元，涉铁部分34763.23万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浙江天平投资咨询有限公司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4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230000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 xml:space="preserve">袁志卫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0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 xml:space="preserve"> 高级工程师（证书编号：G3300218750）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一级注册造价工程师（土木建筑）（证书编号：建[造]11083300002937）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0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6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自合同签订之日至项目竣工验收完成，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并免费延长至工程结算完成止。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0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具备独立法人资格。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业绩：关于嘉兴快速路下穿沪昆铁路立交工程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（审定单时间：2020年11月20日）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4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2023年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4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ZjhhMjEwMzJjZGE4NTIxNWEwYWE3Njc5NjQ4Mjc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A3264"/>
    <w:rsid w:val="046360D0"/>
    <w:rsid w:val="0AA042D0"/>
    <w:rsid w:val="1471547E"/>
    <w:rsid w:val="19E87796"/>
    <w:rsid w:val="207004B5"/>
    <w:rsid w:val="3B586351"/>
    <w:rsid w:val="3EDD48FE"/>
    <w:rsid w:val="430C58E1"/>
    <w:rsid w:val="449725C4"/>
    <w:rsid w:val="53AD0E81"/>
    <w:rsid w:val="55B36F68"/>
    <w:rsid w:val="57163441"/>
    <w:rsid w:val="6A425B2F"/>
    <w:rsid w:val="6EF54288"/>
    <w:rsid w:val="77992677"/>
    <w:rsid w:val="780207D3"/>
    <w:rsid w:val="79B43035"/>
    <w:rsid w:val="79BC17EF"/>
    <w:rsid w:val="7C6B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442</Characters>
  <Lines>5</Lines>
  <Paragraphs>1</Paragraphs>
  <TotalTime>5</TotalTime>
  <ScaleCrop>false</ScaleCrop>
  <LinksUpToDate>false</LinksUpToDate>
  <CharactersWithSpaces>446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带泪的鱼*^o^*</cp:lastModifiedBy>
  <cp:lastPrinted>2022-11-17T02:31:00Z</cp:lastPrinted>
  <dcterms:modified xsi:type="dcterms:W3CDTF">2023-07-13T02:01:28Z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1E599CBE4BFC4A74B751FDFB66BB1B8F</vt:lpwstr>
  </property>
</Properties>
</file>