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rPr>
        <w:t>S207秀洲至仙居公路南湖区科技大道至海盐县盐于公路段改建工程（二期）节地评价（重新招标）中标人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3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S207秀洲至仙居公路南湖区科技大道至海盐县盐于公路段改建工程（二期）节地评价（重新招标）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348" w:type="dxa"/>
            <w:vAlign w:val="center"/>
          </w:tcPr>
          <w:p>
            <w:pPr>
              <w:spacing w:line="360" w:lineRule="auto"/>
              <w:jc w:val="center"/>
              <w:rPr>
                <w:rFonts w:ascii="宋体" w:hAnsi="宋体" w:eastAsia="宋体"/>
                <w:szCs w:val="21"/>
              </w:rPr>
            </w:pPr>
            <w:r>
              <w:rPr>
                <w:rFonts w:hint="eastAsia" w:ascii="宋体" w:hAnsi="宋体" w:eastAsia="宋体"/>
                <w:szCs w:val="21"/>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pPr>
              <w:spacing w:line="360" w:lineRule="auto"/>
              <w:ind w:firstLine="420" w:firstLineChars="200"/>
              <w:jc w:val="left"/>
              <w:rPr>
                <w:rFonts w:ascii="宋体" w:hAnsi="宋体" w:eastAsia="宋体" w:cs="Arial"/>
                <w:szCs w:val="21"/>
              </w:rPr>
            </w:pPr>
            <w:r>
              <w:rPr>
                <w:rFonts w:hint="eastAsia" w:ascii="宋体" w:hAnsi="宋体" w:eastAsia="宋体" w:cs="Arial"/>
                <w:szCs w:val="21"/>
              </w:rPr>
              <w:t>本次招标项目主线起点位于南湖区乍嘉苏高速余新互通与嘉南公路平交口处，起点桩号K7+370，终点位于海盐县于城大桥北侧桥头，终点桩号K22+512.7，主线全长15.143km。连接线路线起点位于主线K22+027.202 处，与嘉南线平面交叉，沿现状盐于公路向东延伸，终于振兴路口，路线长2.46公里。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pPr>
              <w:spacing w:line="360" w:lineRule="auto"/>
              <w:jc w:val="center"/>
              <w:rPr>
                <w:rFonts w:ascii="宋体" w:hAnsi="宋体" w:eastAsia="宋体"/>
                <w:szCs w:val="21"/>
              </w:rPr>
            </w:pPr>
            <w:r>
              <w:rPr>
                <w:rFonts w:ascii="宋体" w:hAnsi="宋体" w:eastAsia="宋体"/>
                <w:szCs w:val="21"/>
              </w:rPr>
              <w:t>嘉兴市国土空间规划研究有限公司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pPr>
              <w:spacing w:line="360" w:lineRule="auto"/>
              <w:jc w:val="center"/>
              <w:rPr>
                <w:rFonts w:ascii="宋体" w:hAnsi="宋体" w:eastAsia="宋体"/>
                <w:szCs w:val="21"/>
              </w:rPr>
            </w:pPr>
            <w:r>
              <w:rPr>
                <w:rFonts w:ascii="宋体" w:hAnsi="宋体" w:eastAsia="宋体" w:cs="Arial"/>
                <w:szCs w:val="21"/>
              </w:rPr>
              <w:t>215000元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widowControl/>
              <w:spacing w:line="36" w:lineRule="atLeast"/>
              <w:jc w:val="center"/>
              <w:rPr>
                <w:rFonts w:hint="eastAsia" w:ascii="宋体" w:hAnsi="宋体" w:eastAsia="宋体" w:cs="Arial"/>
                <w:szCs w:val="21"/>
              </w:rPr>
            </w:pPr>
            <w:r>
              <w:rPr>
                <w:rFonts w:hint="eastAsia" w:ascii="宋体" w:hAnsi="宋体" w:eastAsia="宋体" w:cs="Arial"/>
                <w:szCs w:val="21"/>
              </w:rPr>
              <w:t>周志浩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高级工程师（证书编号：</w:t>
            </w:r>
            <w:r>
              <w:rPr>
                <w:rFonts w:ascii="宋体" w:hAnsi="宋体" w:eastAsia="宋体" w:cs="Arial"/>
                <w:szCs w:val="21"/>
              </w:rPr>
              <w:t>G3300295990）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64"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348" w:type="dxa"/>
            <w:vAlign w:val="center"/>
          </w:tcPr>
          <w:p>
            <w:pPr>
              <w:spacing w:line="360" w:lineRule="auto"/>
              <w:ind w:firstLine="420" w:firstLineChars="200"/>
              <w:jc w:val="left"/>
              <w:rPr>
                <w:rFonts w:ascii="宋体" w:hAnsi="宋体" w:eastAsia="宋体"/>
                <w:szCs w:val="21"/>
              </w:rPr>
            </w:pPr>
            <w:r>
              <w:rPr>
                <w:rFonts w:hint="eastAsia" w:ascii="宋体" w:hAnsi="宋体" w:eastAsia="宋体"/>
                <w:szCs w:val="21"/>
              </w:rPr>
              <w:t>招标人提供完整资料后，</w:t>
            </w:r>
            <w:r>
              <w:rPr>
                <w:rFonts w:ascii="宋体" w:hAnsi="宋体" w:eastAsia="宋体"/>
                <w:szCs w:val="21"/>
              </w:rPr>
              <w:t>15天内完成报告编制，30天内完成报告评审，如评审报告需要修改，需在7天内完成修改，配合至土地报批完成。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spacing w:line="360" w:lineRule="auto"/>
              <w:ind w:firstLine="420" w:firstLineChars="200"/>
              <w:jc w:val="left"/>
              <w:rPr>
                <w:rFonts w:ascii="宋体" w:hAnsi="宋体" w:eastAsia="宋体"/>
                <w:szCs w:val="21"/>
              </w:rPr>
            </w:pPr>
            <w:r>
              <w:rPr>
                <w:rFonts w:hint="eastAsia" w:ascii="宋体" w:hAnsi="宋体" w:eastAsia="宋体"/>
                <w:szCs w:val="21"/>
              </w:rPr>
              <w:t>具备独立法人资格；具有合法有效的城乡规划编制甲级资质。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2023年5月</w:t>
            </w:r>
            <w:r>
              <w:rPr>
                <w:rFonts w:hint="eastAsia" w:ascii="宋体" w:hAnsi="宋体" w:eastAsia="宋体"/>
                <w:color w:val="333333"/>
                <w:szCs w:val="21"/>
                <w:shd w:val="clear" w:color="auto" w:fill="FFFFFF"/>
                <w:lang w:val="en-US" w:eastAsia="zh-CN"/>
              </w:rPr>
              <w:t>22</w:t>
            </w:r>
            <w:bookmarkStart w:id="0" w:name="_GoBack"/>
            <w:bookmarkEnd w:id="0"/>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348"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95D10"/>
    <w:rsid w:val="003E4C4A"/>
    <w:rsid w:val="00447CD1"/>
    <w:rsid w:val="004B4DDE"/>
    <w:rsid w:val="00574479"/>
    <w:rsid w:val="00582E4B"/>
    <w:rsid w:val="006A61DD"/>
    <w:rsid w:val="006C2FC8"/>
    <w:rsid w:val="007B0A08"/>
    <w:rsid w:val="0083498D"/>
    <w:rsid w:val="009C5968"/>
    <w:rsid w:val="00B62E64"/>
    <w:rsid w:val="00BF149D"/>
    <w:rsid w:val="00C40A04"/>
    <w:rsid w:val="00C92847"/>
    <w:rsid w:val="00CE728A"/>
    <w:rsid w:val="00D44D3E"/>
    <w:rsid w:val="00DA0805"/>
    <w:rsid w:val="00DC715F"/>
    <w:rsid w:val="00E33986"/>
    <w:rsid w:val="00EB58EA"/>
    <w:rsid w:val="00F05E2E"/>
    <w:rsid w:val="00FA3264"/>
    <w:rsid w:val="046360D0"/>
    <w:rsid w:val="0AA042D0"/>
    <w:rsid w:val="19E87796"/>
    <w:rsid w:val="3EDD48FE"/>
    <w:rsid w:val="403A202D"/>
    <w:rsid w:val="449725C4"/>
    <w:rsid w:val="55B36F68"/>
    <w:rsid w:val="57163441"/>
    <w:rsid w:val="6EF54288"/>
    <w:rsid w:val="780207D3"/>
    <w:rsid w:val="79B43035"/>
    <w:rsid w:val="79BC17EF"/>
    <w:rsid w:val="7A36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Words>
  <Characters>430</Characters>
  <Lines>3</Lines>
  <Paragraphs>1</Paragraphs>
  <TotalTime>3</TotalTime>
  <ScaleCrop>false</ScaleCrop>
  <LinksUpToDate>false</LinksUpToDate>
  <CharactersWithSpaces>504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谢丹燕(xiedy)</cp:lastModifiedBy>
  <cp:lastPrinted>2022-11-17T02:31:00Z</cp:lastPrinted>
  <dcterms:modified xsi:type="dcterms:W3CDTF">2023-05-19T05:28:02Z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1E599CBE4BFC4A74B751FDFB66BB1B8F</vt:lpwstr>
  </property>
</Properties>
</file>