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after="0" w:line="360" w:lineRule="auto"/>
        <w:rPr>
          <w:rFonts w:ascii="Times New Roman" w:hAnsi="Times New Roman" w:cs="宋体"/>
          <w:color w:val="000000"/>
          <w:sz w:val="24"/>
          <w:szCs w:val="21"/>
        </w:rPr>
      </w:pPr>
      <w:bookmarkStart w:id="0" w:name="_GoBack"/>
      <w:bookmarkEnd w:id="0"/>
      <w:r>
        <w:rPr>
          <w:rFonts w:hint="eastAsia" w:ascii="Times New Roman" w:hAnsi="Times New Roman" w:cs="宋体"/>
          <w:color w:val="000000"/>
          <w:sz w:val="24"/>
          <w:szCs w:val="21"/>
        </w:rPr>
        <w:t>嘉兴市国鸿汽车运输有限公司营运车用轮胎采购</w:t>
      </w:r>
    </w:p>
    <w:p>
      <w:pPr>
        <w:pStyle w:val="6"/>
        <w:spacing w:before="0" w:after="0" w:line="360" w:lineRule="auto"/>
        <w:rPr>
          <w:rFonts w:ascii="Times New Roman" w:hAnsi="Times New Roman" w:cs="宋体"/>
          <w:color w:val="000000"/>
          <w:sz w:val="24"/>
          <w:szCs w:val="21"/>
        </w:rPr>
      </w:pPr>
      <w:r>
        <w:rPr>
          <w:rFonts w:hint="eastAsia" w:ascii="Times New Roman" w:hAnsi="Times New Roman" w:cs="宋体"/>
          <w:color w:val="000000"/>
          <w:sz w:val="24"/>
          <w:szCs w:val="21"/>
        </w:rPr>
        <w:t>公开招标采购公告</w:t>
      </w:r>
    </w:p>
    <w:p>
      <w:pPr>
        <w:spacing w:line="400" w:lineRule="exact"/>
        <w:ind w:firstLine="420" w:firstLineChars="200"/>
        <w:rPr>
          <w:rFonts w:ascii="Times New Roman" w:hAnsi="Times New Roman" w:cs="宋体"/>
          <w:color w:val="000000"/>
          <w:szCs w:val="21"/>
        </w:rPr>
      </w:pPr>
      <w:r>
        <w:rPr>
          <w:rFonts w:hint="eastAsia" w:ascii="Times New Roman" w:hAnsi="Times New Roman" w:cs="宋体"/>
          <w:color w:val="000000"/>
          <w:szCs w:val="21"/>
        </w:rPr>
        <w:t>根据《中华人民共和国招标投标法》等有关规定，现就嘉兴市国鸿汽车运输有限公司营运车用轮胎采购进行公开招标采购，欢迎国内合格供应商前来投标，现将有有关事项公告如下：</w:t>
      </w:r>
    </w:p>
    <w:p>
      <w:pPr>
        <w:spacing w:line="400" w:lineRule="exact"/>
        <w:ind w:firstLine="422" w:firstLineChars="200"/>
        <w:rPr>
          <w:rFonts w:ascii="Times New Roman" w:hAnsi="Times New Roman" w:cs="宋体"/>
          <w:color w:val="000000"/>
          <w:szCs w:val="21"/>
        </w:rPr>
      </w:pPr>
      <w:r>
        <w:rPr>
          <w:rFonts w:hint="eastAsia" w:ascii="Times New Roman" w:hAnsi="Times New Roman" w:cs="宋体"/>
          <w:b/>
          <w:bCs/>
          <w:color w:val="000000"/>
          <w:szCs w:val="21"/>
        </w:rPr>
        <w:t>一、采购方式：</w:t>
      </w:r>
      <w:r>
        <w:rPr>
          <w:rFonts w:hint="eastAsia" w:ascii="Times New Roman" w:hAnsi="Times New Roman" w:cs="宋体"/>
          <w:color w:val="000000"/>
          <w:szCs w:val="21"/>
        </w:rPr>
        <w:t>公开招标</w:t>
      </w:r>
    </w:p>
    <w:p>
      <w:pPr>
        <w:spacing w:line="400" w:lineRule="exact"/>
        <w:ind w:firstLine="422" w:firstLineChars="200"/>
        <w:rPr>
          <w:rFonts w:ascii="Times New Roman" w:hAnsi="Times New Roman" w:cs="宋体"/>
          <w:color w:val="000000"/>
          <w:szCs w:val="21"/>
        </w:rPr>
      </w:pPr>
      <w:r>
        <w:rPr>
          <w:rFonts w:hint="eastAsia" w:ascii="Times New Roman" w:hAnsi="Times New Roman" w:cs="宋体"/>
          <w:b/>
          <w:bCs/>
          <w:color w:val="000000"/>
          <w:szCs w:val="21"/>
        </w:rPr>
        <w:t>二、招标采购内容：</w:t>
      </w:r>
    </w:p>
    <w:p>
      <w:pPr>
        <w:spacing w:line="400" w:lineRule="exact"/>
        <w:ind w:firstLine="420" w:firstLineChars="200"/>
        <w:rPr>
          <w:rFonts w:ascii="Times New Roman" w:hAnsi="Times New Roman" w:cs="宋体"/>
          <w:bCs/>
          <w:color w:val="000000"/>
          <w:szCs w:val="21"/>
        </w:rPr>
      </w:pPr>
      <w:r>
        <w:rPr>
          <w:rFonts w:hint="eastAsia" w:ascii="Times New Roman" w:hAnsi="Times New Roman" w:cs="宋体"/>
          <w:bCs/>
          <w:color w:val="000000"/>
          <w:szCs w:val="21"/>
        </w:rPr>
        <w:t>2.1、本次营运车用轮胎采购共分三个标段，一标段采购的是小型轮胎，装配在9米以下公交车型（轮胎行驶里程不得低于50000公里），适用于新能源汽车，采购金额约98万元；二标段采购的是大型轮胎，装配在9米以上公交车型（轮胎行驶里程不得低于120000公里），适用于新能源汽车，采购金额约110万元；三标段采购的是高速公路行驶的旅游、长途客运车辆使用轮胎（轮胎花纹深度达到高速使用需求，行驶里程不得低于170000公里），采购金额约42万元。各标段采购的轮胎具体规格、数量如下（各轮胎的速度级别、轮胎层级、轮胎花纹深度等要求详见招标文件第二章招标需求）：</w:t>
      </w:r>
    </w:p>
    <w:tbl>
      <w:tblPr>
        <w:tblStyle w:val="8"/>
        <w:tblW w:w="4545" w:type="pct"/>
        <w:jc w:val="center"/>
        <w:tblLayout w:type="autofit"/>
        <w:tblCellMar>
          <w:top w:w="0" w:type="dxa"/>
          <w:left w:w="108" w:type="dxa"/>
          <w:bottom w:w="0" w:type="dxa"/>
          <w:right w:w="108" w:type="dxa"/>
        </w:tblCellMar>
      </w:tblPr>
      <w:tblGrid>
        <w:gridCol w:w="747"/>
        <w:gridCol w:w="2572"/>
        <w:gridCol w:w="2012"/>
        <w:gridCol w:w="2415"/>
      </w:tblGrid>
      <w:tr>
        <w:tblPrEx>
          <w:tblCellMar>
            <w:top w:w="0" w:type="dxa"/>
            <w:left w:w="108" w:type="dxa"/>
            <w:bottom w:w="0" w:type="dxa"/>
            <w:right w:w="108" w:type="dxa"/>
          </w:tblCellMar>
        </w:tblPrEx>
        <w:trPr>
          <w:trHeight w:val="383"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82"/>
              <w:jc w:val="center"/>
              <w:rPr>
                <w:rFonts w:ascii="Times New Roman" w:hAnsi="Times New Roman"/>
                <w:b/>
                <w:bCs/>
                <w:color w:val="000000"/>
                <w:kern w:val="0"/>
                <w:szCs w:val="21"/>
              </w:rPr>
            </w:pPr>
            <w:r>
              <w:rPr>
                <w:rFonts w:ascii="Times New Roman" w:hAnsi="Times New Roman"/>
                <w:b/>
                <w:bCs/>
                <w:color w:val="000000"/>
                <w:kern w:val="0"/>
                <w:szCs w:val="21"/>
              </w:rPr>
              <w:t>一标段</w:t>
            </w:r>
          </w:p>
        </w:tc>
      </w:tr>
      <w:tr>
        <w:tblPrEx>
          <w:tblCellMar>
            <w:top w:w="0" w:type="dxa"/>
            <w:left w:w="108" w:type="dxa"/>
            <w:bottom w:w="0" w:type="dxa"/>
            <w:right w:w="108" w:type="dxa"/>
          </w:tblCellMar>
        </w:tblPrEx>
        <w:trPr>
          <w:trHeight w:val="383" w:hRule="atLeast"/>
          <w:jc w:val="center"/>
        </w:trPr>
        <w:tc>
          <w:tcPr>
            <w:tcW w:w="482" w:type="pct"/>
            <w:tcBorders>
              <w:top w:val="nil"/>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b/>
                <w:bCs/>
                <w:color w:val="000000"/>
                <w:kern w:val="0"/>
                <w:szCs w:val="21"/>
              </w:rPr>
            </w:pPr>
            <w:r>
              <w:rPr>
                <w:rFonts w:ascii="Times New Roman" w:hAnsi="Times New Roman"/>
                <w:b/>
                <w:bCs/>
                <w:color w:val="000000"/>
                <w:kern w:val="0"/>
                <w:szCs w:val="21"/>
              </w:rPr>
              <w:t>序号</w:t>
            </w:r>
          </w:p>
        </w:tc>
        <w:tc>
          <w:tcPr>
            <w:tcW w:w="1660" w:type="pct"/>
            <w:tcBorders>
              <w:top w:val="nil"/>
              <w:left w:val="nil"/>
              <w:bottom w:val="single" w:color="auto" w:sz="4" w:space="0"/>
              <w:right w:val="single" w:color="auto" w:sz="4" w:space="0"/>
            </w:tcBorders>
            <w:vAlign w:val="center"/>
          </w:tcPr>
          <w:p>
            <w:pPr>
              <w:widowControl/>
              <w:spacing w:line="400" w:lineRule="exact"/>
              <w:jc w:val="center"/>
              <w:rPr>
                <w:rFonts w:ascii="Times New Roman" w:hAnsi="Times New Roman"/>
                <w:b/>
                <w:bCs/>
                <w:color w:val="000000"/>
                <w:kern w:val="0"/>
                <w:szCs w:val="21"/>
              </w:rPr>
            </w:pPr>
            <w:r>
              <w:rPr>
                <w:rFonts w:ascii="Times New Roman" w:hAnsi="Times New Roman"/>
                <w:b/>
                <w:bCs/>
                <w:color w:val="000000"/>
                <w:kern w:val="0"/>
                <w:szCs w:val="21"/>
              </w:rPr>
              <w:t>轮胎规格</w:t>
            </w:r>
          </w:p>
        </w:tc>
        <w:tc>
          <w:tcPr>
            <w:tcW w:w="1299" w:type="pct"/>
            <w:tcBorders>
              <w:top w:val="single" w:color="auto" w:sz="4" w:space="0"/>
              <w:left w:val="nil"/>
              <w:bottom w:val="single" w:color="auto" w:sz="4" w:space="0"/>
              <w:right w:val="single" w:color="auto" w:sz="4" w:space="0"/>
            </w:tcBorders>
            <w:vAlign w:val="center"/>
          </w:tcPr>
          <w:p>
            <w:pPr>
              <w:widowControl/>
              <w:spacing w:line="400" w:lineRule="exact"/>
              <w:jc w:val="center"/>
              <w:rPr>
                <w:rFonts w:ascii="Times New Roman" w:hAnsi="Times New Roman"/>
                <w:b/>
                <w:bCs/>
                <w:color w:val="000000"/>
                <w:kern w:val="0"/>
                <w:szCs w:val="21"/>
              </w:rPr>
            </w:pPr>
            <w:r>
              <w:rPr>
                <w:rFonts w:ascii="Times New Roman" w:hAnsi="Times New Roman"/>
                <w:b/>
                <w:bCs/>
                <w:color w:val="000000"/>
                <w:kern w:val="0"/>
                <w:szCs w:val="21"/>
              </w:rPr>
              <w:t>数量（套）</w:t>
            </w:r>
          </w:p>
        </w:tc>
        <w:tc>
          <w:tcPr>
            <w:tcW w:w="1559" w:type="pct"/>
            <w:tcBorders>
              <w:top w:val="nil"/>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b/>
                <w:bCs/>
                <w:color w:val="000000"/>
                <w:kern w:val="0"/>
                <w:szCs w:val="21"/>
              </w:rPr>
            </w:pPr>
            <w:r>
              <w:rPr>
                <w:rFonts w:ascii="Times New Roman" w:hAnsi="Times New Roman"/>
                <w:b/>
                <w:bCs/>
                <w:color w:val="000000"/>
                <w:kern w:val="0"/>
                <w:szCs w:val="21"/>
              </w:rPr>
              <w:t>备注</w:t>
            </w:r>
          </w:p>
        </w:tc>
      </w:tr>
      <w:tr>
        <w:tblPrEx>
          <w:tblCellMar>
            <w:top w:w="0" w:type="dxa"/>
            <w:left w:w="108" w:type="dxa"/>
            <w:bottom w:w="0" w:type="dxa"/>
            <w:right w:w="108" w:type="dxa"/>
          </w:tblCellMar>
        </w:tblPrEx>
        <w:trPr>
          <w:trHeight w:val="383" w:hRule="atLeast"/>
          <w:jc w:val="center"/>
        </w:trPr>
        <w:tc>
          <w:tcPr>
            <w:tcW w:w="482" w:type="pct"/>
            <w:tcBorders>
              <w:top w:val="nil"/>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color w:val="000000"/>
                <w:kern w:val="0"/>
                <w:szCs w:val="21"/>
              </w:rPr>
            </w:pPr>
            <w:r>
              <w:rPr>
                <w:rFonts w:ascii="Times New Roman" w:hAnsi="Times New Roman"/>
                <w:color w:val="000000"/>
                <w:kern w:val="0"/>
                <w:szCs w:val="21"/>
              </w:rPr>
              <w:t>1</w:t>
            </w:r>
          </w:p>
        </w:tc>
        <w:tc>
          <w:tcPr>
            <w:tcW w:w="1660" w:type="pct"/>
            <w:tcBorders>
              <w:top w:val="nil"/>
              <w:left w:val="nil"/>
              <w:bottom w:val="single" w:color="auto" w:sz="4" w:space="0"/>
              <w:right w:val="single" w:color="auto" w:sz="4" w:space="0"/>
            </w:tcBorders>
            <w:vAlign w:val="center"/>
          </w:tcPr>
          <w:p>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7.00R16</w:t>
            </w:r>
          </w:p>
        </w:tc>
        <w:tc>
          <w:tcPr>
            <w:tcW w:w="1299" w:type="pct"/>
            <w:tcBorders>
              <w:top w:val="single" w:color="auto" w:sz="4" w:space="0"/>
              <w:left w:val="nil"/>
              <w:bottom w:val="single" w:color="auto" w:sz="4" w:space="0"/>
              <w:right w:val="single" w:color="auto" w:sz="4" w:space="0"/>
            </w:tcBorders>
            <w:vAlign w:val="center"/>
          </w:tcPr>
          <w:p>
            <w:pPr>
              <w:widowControl/>
              <w:spacing w:line="400" w:lineRule="exact"/>
              <w:jc w:val="center"/>
              <w:textAlignment w:val="center"/>
              <w:rPr>
                <w:rFonts w:ascii="Times New Roman" w:hAnsi="Times New Roman"/>
                <w:color w:val="000000"/>
                <w:szCs w:val="21"/>
              </w:rPr>
            </w:pPr>
            <w:r>
              <w:rPr>
                <w:rFonts w:ascii="Times New Roman" w:hAnsi="Times New Roman"/>
                <w:color w:val="000000"/>
                <w:szCs w:val="21"/>
              </w:rPr>
              <w:t>20</w:t>
            </w:r>
          </w:p>
        </w:tc>
        <w:tc>
          <w:tcPr>
            <w:tcW w:w="1559" w:type="pct"/>
            <w:vMerge w:val="restart"/>
            <w:tcBorders>
              <w:top w:val="nil"/>
              <w:left w:val="single" w:color="auto" w:sz="4" w:space="0"/>
              <w:right w:val="single" w:color="auto" w:sz="4" w:space="0"/>
            </w:tcBorders>
            <w:vAlign w:val="center"/>
          </w:tcPr>
          <w:p>
            <w:pPr>
              <w:widowControl/>
              <w:spacing w:line="400" w:lineRule="exact"/>
              <w:jc w:val="center"/>
              <w:textAlignment w:val="center"/>
              <w:rPr>
                <w:rFonts w:ascii="Times New Roman" w:hAnsi="Times New Roman"/>
                <w:color w:val="000000"/>
                <w:szCs w:val="21"/>
              </w:rPr>
            </w:pPr>
            <w:r>
              <w:rPr>
                <w:rFonts w:hint="eastAsia" w:ascii="Times New Roman" w:hAnsi="Times New Roman" w:cs="宋体"/>
                <w:bCs/>
                <w:color w:val="000000"/>
                <w:szCs w:val="21"/>
              </w:rPr>
              <w:t>小型轮胎，装配在9米以下公交车型（轮胎行驶里程不得低于50000公里），适用于新能源汽车</w:t>
            </w:r>
          </w:p>
        </w:tc>
      </w:tr>
      <w:tr>
        <w:tblPrEx>
          <w:tblCellMar>
            <w:top w:w="0" w:type="dxa"/>
            <w:left w:w="108" w:type="dxa"/>
            <w:bottom w:w="0" w:type="dxa"/>
            <w:right w:w="108" w:type="dxa"/>
          </w:tblCellMar>
        </w:tblPrEx>
        <w:trPr>
          <w:trHeight w:val="383" w:hRule="atLeast"/>
          <w:jc w:val="center"/>
        </w:trPr>
        <w:tc>
          <w:tcPr>
            <w:tcW w:w="482" w:type="pct"/>
            <w:tcBorders>
              <w:top w:val="nil"/>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color w:val="000000"/>
                <w:kern w:val="0"/>
                <w:szCs w:val="21"/>
              </w:rPr>
            </w:pPr>
            <w:r>
              <w:rPr>
                <w:rFonts w:ascii="Times New Roman" w:hAnsi="Times New Roman"/>
                <w:color w:val="000000"/>
                <w:kern w:val="0"/>
                <w:szCs w:val="21"/>
              </w:rPr>
              <w:t>2</w:t>
            </w:r>
          </w:p>
        </w:tc>
        <w:tc>
          <w:tcPr>
            <w:tcW w:w="1660" w:type="pct"/>
            <w:tcBorders>
              <w:top w:val="nil"/>
              <w:left w:val="nil"/>
              <w:bottom w:val="single" w:color="auto" w:sz="4" w:space="0"/>
              <w:right w:val="single" w:color="auto" w:sz="4" w:space="0"/>
            </w:tcBorders>
            <w:vAlign w:val="center"/>
          </w:tcPr>
          <w:p>
            <w:pPr>
              <w:widowControl/>
              <w:spacing w:line="400" w:lineRule="exact"/>
              <w:jc w:val="center"/>
              <w:textAlignment w:val="center"/>
              <w:rPr>
                <w:rFonts w:ascii="Times New Roman" w:hAnsi="Times New Roman"/>
                <w:color w:val="000000"/>
                <w:szCs w:val="21"/>
              </w:rPr>
            </w:pPr>
            <w:r>
              <w:rPr>
                <w:rFonts w:ascii="Times New Roman" w:hAnsi="Times New Roman"/>
                <w:color w:val="000000"/>
                <w:szCs w:val="21"/>
              </w:rPr>
              <w:t>185R15C</w:t>
            </w:r>
          </w:p>
        </w:tc>
        <w:tc>
          <w:tcPr>
            <w:tcW w:w="1299" w:type="pct"/>
            <w:tcBorders>
              <w:top w:val="single" w:color="auto" w:sz="4" w:space="0"/>
              <w:left w:val="nil"/>
              <w:bottom w:val="single" w:color="auto" w:sz="4" w:space="0"/>
              <w:right w:val="single" w:color="auto" w:sz="4" w:space="0"/>
            </w:tcBorders>
            <w:vAlign w:val="center"/>
          </w:tcPr>
          <w:p>
            <w:pPr>
              <w:widowControl/>
              <w:spacing w:line="400" w:lineRule="exact"/>
              <w:jc w:val="center"/>
              <w:textAlignment w:val="center"/>
              <w:rPr>
                <w:rFonts w:ascii="Times New Roman" w:hAnsi="Times New Roman"/>
                <w:color w:val="000000"/>
                <w:szCs w:val="21"/>
              </w:rPr>
            </w:pPr>
            <w:r>
              <w:rPr>
                <w:rFonts w:ascii="Times New Roman" w:hAnsi="Times New Roman"/>
                <w:color w:val="000000"/>
                <w:szCs w:val="21"/>
              </w:rPr>
              <w:t>18</w:t>
            </w:r>
          </w:p>
        </w:tc>
        <w:tc>
          <w:tcPr>
            <w:tcW w:w="1559" w:type="pct"/>
            <w:vMerge w:val="continue"/>
            <w:tcBorders>
              <w:left w:val="single" w:color="auto" w:sz="4" w:space="0"/>
              <w:right w:val="single" w:color="auto" w:sz="4" w:space="0"/>
            </w:tcBorders>
            <w:vAlign w:val="center"/>
          </w:tcPr>
          <w:p>
            <w:pPr>
              <w:widowControl/>
              <w:spacing w:line="400" w:lineRule="exact"/>
              <w:jc w:val="center"/>
              <w:textAlignment w:val="center"/>
              <w:rPr>
                <w:rFonts w:ascii="Times New Roman" w:hAnsi="Times New Roman"/>
                <w:color w:val="000000"/>
                <w:szCs w:val="21"/>
              </w:rPr>
            </w:pPr>
          </w:p>
        </w:tc>
      </w:tr>
      <w:tr>
        <w:tblPrEx>
          <w:tblCellMar>
            <w:top w:w="0" w:type="dxa"/>
            <w:left w:w="108" w:type="dxa"/>
            <w:bottom w:w="0" w:type="dxa"/>
            <w:right w:w="108" w:type="dxa"/>
          </w:tblCellMar>
        </w:tblPrEx>
        <w:trPr>
          <w:trHeight w:val="383" w:hRule="atLeast"/>
          <w:jc w:val="center"/>
        </w:trPr>
        <w:tc>
          <w:tcPr>
            <w:tcW w:w="482" w:type="pct"/>
            <w:tcBorders>
              <w:top w:val="nil"/>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color w:val="000000"/>
                <w:kern w:val="0"/>
                <w:szCs w:val="21"/>
              </w:rPr>
            </w:pPr>
            <w:r>
              <w:rPr>
                <w:rFonts w:ascii="Times New Roman" w:hAnsi="Times New Roman"/>
                <w:color w:val="000000"/>
                <w:kern w:val="0"/>
                <w:szCs w:val="21"/>
              </w:rPr>
              <w:t>3</w:t>
            </w:r>
          </w:p>
        </w:tc>
        <w:tc>
          <w:tcPr>
            <w:tcW w:w="1660" w:type="pct"/>
            <w:tcBorders>
              <w:top w:val="nil"/>
              <w:left w:val="nil"/>
              <w:bottom w:val="single" w:color="auto" w:sz="4" w:space="0"/>
              <w:right w:val="single" w:color="auto" w:sz="4" w:space="0"/>
            </w:tcBorders>
            <w:vAlign w:val="center"/>
          </w:tcPr>
          <w:p>
            <w:pPr>
              <w:widowControl/>
              <w:spacing w:line="400" w:lineRule="exact"/>
              <w:jc w:val="center"/>
              <w:textAlignment w:val="center"/>
              <w:rPr>
                <w:rFonts w:ascii="Times New Roman" w:hAnsi="Times New Roman"/>
                <w:color w:val="000000"/>
                <w:szCs w:val="21"/>
              </w:rPr>
            </w:pPr>
            <w:r>
              <w:rPr>
                <w:rFonts w:ascii="Times New Roman" w:hAnsi="Times New Roman"/>
                <w:color w:val="000000"/>
                <w:szCs w:val="21"/>
              </w:rPr>
              <w:t>215/75R17.5</w:t>
            </w:r>
          </w:p>
        </w:tc>
        <w:tc>
          <w:tcPr>
            <w:tcW w:w="1299" w:type="pct"/>
            <w:tcBorders>
              <w:top w:val="single" w:color="auto" w:sz="4" w:space="0"/>
              <w:left w:val="nil"/>
              <w:bottom w:val="single" w:color="auto" w:sz="4" w:space="0"/>
              <w:right w:val="single" w:color="auto" w:sz="4" w:space="0"/>
            </w:tcBorders>
            <w:vAlign w:val="center"/>
          </w:tcPr>
          <w:p>
            <w:pPr>
              <w:widowControl/>
              <w:spacing w:line="400" w:lineRule="exact"/>
              <w:jc w:val="center"/>
              <w:textAlignment w:val="center"/>
              <w:rPr>
                <w:rFonts w:ascii="Times New Roman" w:hAnsi="Times New Roman"/>
                <w:color w:val="000000"/>
                <w:szCs w:val="21"/>
              </w:rPr>
            </w:pPr>
            <w:r>
              <w:rPr>
                <w:rFonts w:ascii="Times New Roman" w:hAnsi="Times New Roman"/>
                <w:color w:val="000000"/>
                <w:szCs w:val="21"/>
              </w:rPr>
              <w:t>136</w:t>
            </w:r>
          </w:p>
        </w:tc>
        <w:tc>
          <w:tcPr>
            <w:tcW w:w="1559" w:type="pct"/>
            <w:vMerge w:val="continue"/>
            <w:tcBorders>
              <w:left w:val="single" w:color="auto" w:sz="4" w:space="0"/>
              <w:right w:val="single" w:color="auto" w:sz="4" w:space="0"/>
            </w:tcBorders>
            <w:vAlign w:val="center"/>
          </w:tcPr>
          <w:p>
            <w:pPr>
              <w:widowControl/>
              <w:spacing w:line="400" w:lineRule="exact"/>
              <w:jc w:val="center"/>
              <w:textAlignment w:val="center"/>
              <w:rPr>
                <w:rFonts w:ascii="Times New Roman" w:hAnsi="Times New Roman"/>
                <w:color w:val="000000"/>
                <w:szCs w:val="21"/>
              </w:rPr>
            </w:pPr>
          </w:p>
        </w:tc>
      </w:tr>
      <w:tr>
        <w:tblPrEx>
          <w:tblCellMar>
            <w:top w:w="0" w:type="dxa"/>
            <w:left w:w="108" w:type="dxa"/>
            <w:bottom w:w="0" w:type="dxa"/>
            <w:right w:w="108" w:type="dxa"/>
          </w:tblCellMar>
        </w:tblPrEx>
        <w:trPr>
          <w:trHeight w:val="383" w:hRule="atLeast"/>
          <w:jc w:val="center"/>
        </w:trPr>
        <w:tc>
          <w:tcPr>
            <w:tcW w:w="482" w:type="pct"/>
            <w:tcBorders>
              <w:top w:val="nil"/>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color w:val="000000"/>
                <w:kern w:val="0"/>
                <w:szCs w:val="21"/>
              </w:rPr>
            </w:pPr>
            <w:r>
              <w:rPr>
                <w:rFonts w:ascii="Times New Roman" w:hAnsi="Times New Roman"/>
                <w:color w:val="000000"/>
                <w:kern w:val="0"/>
                <w:szCs w:val="21"/>
              </w:rPr>
              <w:t>4</w:t>
            </w:r>
          </w:p>
        </w:tc>
        <w:tc>
          <w:tcPr>
            <w:tcW w:w="1660" w:type="pct"/>
            <w:tcBorders>
              <w:top w:val="nil"/>
              <w:left w:val="nil"/>
              <w:bottom w:val="single" w:color="auto" w:sz="4" w:space="0"/>
              <w:right w:val="single" w:color="auto" w:sz="4" w:space="0"/>
            </w:tcBorders>
            <w:vAlign w:val="center"/>
          </w:tcPr>
          <w:p>
            <w:pPr>
              <w:widowControl/>
              <w:spacing w:line="400" w:lineRule="exact"/>
              <w:jc w:val="center"/>
              <w:rPr>
                <w:rFonts w:ascii="Times New Roman" w:hAnsi="Times New Roman"/>
                <w:color w:val="000000"/>
                <w:kern w:val="0"/>
                <w:szCs w:val="21"/>
              </w:rPr>
            </w:pPr>
            <w:r>
              <w:rPr>
                <w:rFonts w:ascii="Times New Roman" w:hAnsi="Times New Roman"/>
                <w:color w:val="000000"/>
                <w:szCs w:val="21"/>
              </w:rPr>
              <w:t>255/70R22.5</w:t>
            </w:r>
          </w:p>
        </w:tc>
        <w:tc>
          <w:tcPr>
            <w:tcW w:w="1299" w:type="pct"/>
            <w:tcBorders>
              <w:top w:val="single" w:color="auto" w:sz="4" w:space="0"/>
              <w:left w:val="nil"/>
              <w:bottom w:val="single" w:color="auto" w:sz="4" w:space="0"/>
              <w:right w:val="single" w:color="auto" w:sz="4" w:space="0"/>
            </w:tcBorders>
            <w:vAlign w:val="center"/>
          </w:tcPr>
          <w:p>
            <w:pPr>
              <w:widowControl/>
              <w:spacing w:line="400" w:lineRule="exact"/>
              <w:jc w:val="center"/>
              <w:rPr>
                <w:rFonts w:ascii="Times New Roman" w:hAnsi="Times New Roman"/>
                <w:color w:val="000000"/>
                <w:kern w:val="0"/>
                <w:szCs w:val="21"/>
              </w:rPr>
            </w:pPr>
            <w:r>
              <w:rPr>
                <w:rFonts w:ascii="Times New Roman" w:hAnsi="Times New Roman"/>
                <w:color w:val="000000"/>
                <w:kern w:val="0"/>
                <w:szCs w:val="21"/>
              </w:rPr>
              <w:t>2</w:t>
            </w:r>
          </w:p>
        </w:tc>
        <w:tc>
          <w:tcPr>
            <w:tcW w:w="1559" w:type="pct"/>
            <w:vMerge w:val="continue"/>
            <w:tcBorders>
              <w:left w:val="single" w:color="auto" w:sz="4" w:space="0"/>
              <w:right w:val="single" w:color="auto" w:sz="4" w:space="0"/>
            </w:tcBorders>
            <w:vAlign w:val="center"/>
          </w:tcPr>
          <w:p>
            <w:pPr>
              <w:widowControl/>
              <w:spacing w:line="400" w:lineRule="exact"/>
              <w:jc w:val="center"/>
              <w:rPr>
                <w:rFonts w:ascii="Times New Roman" w:hAnsi="Times New Roman"/>
                <w:color w:val="000000"/>
                <w:kern w:val="0"/>
                <w:szCs w:val="21"/>
              </w:rPr>
            </w:pPr>
          </w:p>
        </w:tc>
      </w:tr>
      <w:tr>
        <w:tblPrEx>
          <w:tblCellMar>
            <w:top w:w="0" w:type="dxa"/>
            <w:left w:w="108" w:type="dxa"/>
            <w:bottom w:w="0" w:type="dxa"/>
            <w:right w:w="108" w:type="dxa"/>
          </w:tblCellMar>
        </w:tblPrEx>
        <w:trPr>
          <w:trHeight w:val="383" w:hRule="atLeast"/>
          <w:jc w:val="center"/>
        </w:trPr>
        <w:tc>
          <w:tcPr>
            <w:tcW w:w="482" w:type="pct"/>
            <w:tcBorders>
              <w:top w:val="nil"/>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color w:val="000000"/>
                <w:kern w:val="0"/>
                <w:szCs w:val="21"/>
              </w:rPr>
            </w:pPr>
            <w:r>
              <w:rPr>
                <w:rFonts w:ascii="Times New Roman" w:hAnsi="Times New Roman"/>
                <w:color w:val="000000"/>
                <w:kern w:val="0"/>
                <w:szCs w:val="21"/>
              </w:rPr>
              <w:t>5</w:t>
            </w:r>
          </w:p>
        </w:tc>
        <w:tc>
          <w:tcPr>
            <w:tcW w:w="1660" w:type="pct"/>
            <w:tcBorders>
              <w:top w:val="nil"/>
              <w:left w:val="nil"/>
              <w:bottom w:val="single" w:color="auto" w:sz="4" w:space="0"/>
              <w:right w:val="single" w:color="auto" w:sz="4" w:space="0"/>
            </w:tcBorders>
            <w:vAlign w:val="center"/>
          </w:tcPr>
          <w:p>
            <w:pPr>
              <w:widowControl/>
              <w:spacing w:line="400" w:lineRule="exact"/>
              <w:jc w:val="center"/>
              <w:textAlignment w:val="center"/>
              <w:rPr>
                <w:rFonts w:ascii="Times New Roman" w:hAnsi="Times New Roman"/>
                <w:color w:val="000000"/>
                <w:szCs w:val="21"/>
              </w:rPr>
            </w:pPr>
            <w:r>
              <w:rPr>
                <w:rFonts w:ascii="Times New Roman" w:hAnsi="Times New Roman"/>
                <w:color w:val="000000"/>
                <w:szCs w:val="21"/>
              </w:rPr>
              <w:t>265/70R19.5</w:t>
            </w:r>
          </w:p>
        </w:tc>
        <w:tc>
          <w:tcPr>
            <w:tcW w:w="1299" w:type="pct"/>
            <w:tcBorders>
              <w:top w:val="single" w:color="auto" w:sz="4" w:space="0"/>
              <w:left w:val="nil"/>
              <w:bottom w:val="single" w:color="auto" w:sz="4" w:space="0"/>
              <w:right w:val="single" w:color="auto" w:sz="4" w:space="0"/>
            </w:tcBorders>
            <w:vAlign w:val="center"/>
          </w:tcPr>
          <w:p>
            <w:pPr>
              <w:widowControl/>
              <w:spacing w:line="400" w:lineRule="exact"/>
              <w:jc w:val="center"/>
              <w:textAlignment w:val="center"/>
              <w:rPr>
                <w:rFonts w:ascii="Times New Roman" w:hAnsi="Times New Roman"/>
                <w:color w:val="000000"/>
                <w:szCs w:val="21"/>
              </w:rPr>
            </w:pPr>
            <w:r>
              <w:rPr>
                <w:rFonts w:ascii="Times New Roman" w:hAnsi="Times New Roman"/>
                <w:color w:val="000000"/>
                <w:szCs w:val="21"/>
              </w:rPr>
              <w:t>214</w:t>
            </w:r>
          </w:p>
        </w:tc>
        <w:tc>
          <w:tcPr>
            <w:tcW w:w="1559" w:type="pct"/>
            <w:vMerge w:val="continue"/>
            <w:tcBorders>
              <w:left w:val="single" w:color="auto" w:sz="4" w:space="0"/>
              <w:right w:val="single" w:color="auto" w:sz="4" w:space="0"/>
            </w:tcBorders>
            <w:vAlign w:val="center"/>
          </w:tcPr>
          <w:p>
            <w:pPr>
              <w:widowControl/>
              <w:spacing w:line="400" w:lineRule="exact"/>
              <w:jc w:val="center"/>
              <w:textAlignment w:val="center"/>
              <w:rPr>
                <w:rFonts w:ascii="Times New Roman" w:hAnsi="Times New Roman"/>
                <w:color w:val="000000"/>
                <w:szCs w:val="21"/>
              </w:rPr>
            </w:pPr>
          </w:p>
        </w:tc>
      </w:tr>
      <w:tr>
        <w:tblPrEx>
          <w:tblCellMar>
            <w:top w:w="0" w:type="dxa"/>
            <w:left w:w="108" w:type="dxa"/>
            <w:bottom w:w="0" w:type="dxa"/>
            <w:right w:w="108" w:type="dxa"/>
          </w:tblCellMar>
        </w:tblPrEx>
        <w:trPr>
          <w:trHeight w:val="383" w:hRule="atLeast"/>
          <w:jc w:val="center"/>
        </w:trPr>
        <w:tc>
          <w:tcPr>
            <w:tcW w:w="482" w:type="pct"/>
            <w:tcBorders>
              <w:top w:val="nil"/>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color w:val="000000"/>
                <w:kern w:val="0"/>
                <w:szCs w:val="21"/>
              </w:rPr>
            </w:pPr>
            <w:r>
              <w:rPr>
                <w:rFonts w:hint="eastAsia" w:ascii="Times New Roman" w:hAnsi="Times New Roman"/>
                <w:color w:val="000000"/>
                <w:kern w:val="0"/>
                <w:szCs w:val="21"/>
              </w:rPr>
              <w:t>6</w:t>
            </w:r>
          </w:p>
        </w:tc>
        <w:tc>
          <w:tcPr>
            <w:tcW w:w="1660" w:type="pct"/>
            <w:tcBorders>
              <w:top w:val="nil"/>
              <w:left w:val="nil"/>
              <w:bottom w:val="single" w:color="auto" w:sz="4" w:space="0"/>
              <w:right w:val="single" w:color="auto" w:sz="4" w:space="0"/>
            </w:tcBorders>
            <w:vAlign w:val="center"/>
          </w:tcPr>
          <w:p>
            <w:pPr>
              <w:widowControl/>
              <w:spacing w:line="400" w:lineRule="exact"/>
              <w:jc w:val="center"/>
              <w:textAlignment w:val="center"/>
              <w:rPr>
                <w:rFonts w:ascii="Times New Roman" w:hAnsi="Times New Roman"/>
                <w:color w:val="000000"/>
                <w:szCs w:val="21"/>
              </w:rPr>
            </w:pPr>
            <w:r>
              <w:rPr>
                <w:rFonts w:ascii="Times New Roman" w:hAnsi="Times New Roman"/>
                <w:color w:val="000000"/>
                <w:szCs w:val="21"/>
              </w:rPr>
              <w:t>275/70R22.5</w:t>
            </w:r>
          </w:p>
        </w:tc>
        <w:tc>
          <w:tcPr>
            <w:tcW w:w="1299" w:type="pct"/>
            <w:tcBorders>
              <w:top w:val="single" w:color="auto" w:sz="4" w:space="0"/>
              <w:left w:val="nil"/>
              <w:bottom w:val="single" w:color="auto" w:sz="4" w:space="0"/>
              <w:right w:val="single" w:color="auto" w:sz="4" w:space="0"/>
            </w:tcBorders>
            <w:vAlign w:val="center"/>
          </w:tcPr>
          <w:p>
            <w:pPr>
              <w:widowControl/>
              <w:spacing w:line="400" w:lineRule="exact"/>
              <w:jc w:val="center"/>
              <w:textAlignment w:val="center"/>
              <w:rPr>
                <w:rFonts w:ascii="Times New Roman" w:hAnsi="Times New Roman"/>
                <w:color w:val="000000"/>
                <w:szCs w:val="21"/>
              </w:rPr>
            </w:pPr>
            <w:r>
              <w:rPr>
                <w:rFonts w:ascii="Times New Roman" w:hAnsi="Times New Roman"/>
                <w:color w:val="000000"/>
                <w:szCs w:val="21"/>
              </w:rPr>
              <w:t>400</w:t>
            </w:r>
          </w:p>
        </w:tc>
        <w:tc>
          <w:tcPr>
            <w:tcW w:w="1559" w:type="pct"/>
            <w:vMerge w:val="continue"/>
            <w:tcBorders>
              <w:left w:val="single" w:color="auto" w:sz="4" w:space="0"/>
              <w:bottom w:val="single" w:color="auto" w:sz="4" w:space="0"/>
              <w:right w:val="single" w:color="auto" w:sz="4" w:space="0"/>
            </w:tcBorders>
            <w:vAlign w:val="center"/>
          </w:tcPr>
          <w:p>
            <w:pPr>
              <w:widowControl/>
              <w:spacing w:line="400" w:lineRule="exact"/>
              <w:jc w:val="center"/>
              <w:textAlignment w:val="center"/>
              <w:rPr>
                <w:rFonts w:ascii="Times New Roman" w:hAnsi="Times New Roman"/>
                <w:color w:val="000000"/>
                <w:szCs w:val="21"/>
              </w:rPr>
            </w:pPr>
          </w:p>
        </w:tc>
      </w:tr>
      <w:tr>
        <w:tblPrEx>
          <w:tblCellMar>
            <w:top w:w="0" w:type="dxa"/>
            <w:left w:w="108" w:type="dxa"/>
            <w:bottom w:w="0" w:type="dxa"/>
            <w:right w:w="108" w:type="dxa"/>
          </w:tblCellMar>
        </w:tblPrEx>
        <w:trPr>
          <w:trHeight w:val="383"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b/>
                <w:bCs/>
                <w:color w:val="000000"/>
                <w:kern w:val="0"/>
                <w:szCs w:val="21"/>
              </w:rPr>
            </w:pPr>
            <w:r>
              <w:rPr>
                <w:rFonts w:ascii="Times New Roman" w:hAnsi="Times New Roman"/>
                <w:b/>
                <w:bCs/>
                <w:color w:val="000000"/>
                <w:kern w:val="0"/>
                <w:szCs w:val="21"/>
              </w:rPr>
              <w:t>二标段</w:t>
            </w:r>
          </w:p>
        </w:tc>
      </w:tr>
      <w:tr>
        <w:tblPrEx>
          <w:tblCellMar>
            <w:top w:w="0" w:type="dxa"/>
            <w:left w:w="108" w:type="dxa"/>
            <w:bottom w:w="0" w:type="dxa"/>
            <w:right w:w="108" w:type="dxa"/>
          </w:tblCellMar>
        </w:tblPrEx>
        <w:trPr>
          <w:trHeight w:val="383" w:hRule="atLeast"/>
          <w:jc w:val="center"/>
        </w:trPr>
        <w:tc>
          <w:tcPr>
            <w:tcW w:w="482" w:type="pct"/>
            <w:tcBorders>
              <w:top w:val="nil"/>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b/>
                <w:bCs/>
                <w:color w:val="000000"/>
                <w:kern w:val="0"/>
                <w:szCs w:val="21"/>
              </w:rPr>
            </w:pPr>
            <w:r>
              <w:rPr>
                <w:rFonts w:ascii="Times New Roman" w:hAnsi="Times New Roman"/>
                <w:b/>
                <w:bCs/>
                <w:color w:val="000000"/>
                <w:kern w:val="0"/>
                <w:szCs w:val="21"/>
              </w:rPr>
              <w:t>序号</w:t>
            </w:r>
          </w:p>
        </w:tc>
        <w:tc>
          <w:tcPr>
            <w:tcW w:w="1660" w:type="pct"/>
            <w:tcBorders>
              <w:top w:val="nil"/>
              <w:left w:val="nil"/>
              <w:bottom w:val="single" w:color="auto" w:sz="4" w:space="0"/>
              <w:right w:val="single" w:color="auto" w:sz="4" w:space="0"/>
            </w:tcBorders>
            <w:vAlign w:val="center"/>
          </w:tcPr>
          <w:p>
            <w:pPr>
              <w:widowControl/>
              <w:spacing w:line="400" w:lineRule="exact"/>
              <w:jc w:val="center"/>
              <w:rPr>
                <w:rFonts w:ascii="Times New Roman" w:hAnsi="Times New Roman"/>
                <w:b/>
                <w:bCs/>
                <w:color w:val="000000"/>
                <w:kern w:val="0"/>
                <w:szCs w:val="21"/>
              </w:rPr>
            </w:pPr>
            <w:r>
              <w:rPr>
                <w:rFonts w:ascii="Times New Roman" w:hAnsi="Times New Roman"/>
                <w:b/>
                <w:bCs/>
                <w:color w:val="000000"/>
                <w:kern w:val="0"/>
                <w:szCs w:val="21"/>
              </w:rPr>
              <w:t>轮胎规格</w:t>
            </w:r>
          </w:p>
        </w:tc>
        <w:tc>
          <w:tcPr>
            <w:tcW w:w="1299" w:type="pct"/>
            <w:tcBorders>
              <w:top w:val="single" w:color="auto" w:sz="4" w:space="0"/>
              <w:left w:val="nil"/>
              <w:bottom w:val="single" w:color="auto" w:sz="4" w:space="0"/>
              <w:right w:val="single" w:color="auto" w:sz="4" w:space="0"/>
            </w:tcBorders>
            <w:vAlign w:val="center"/>
          </w:tcPr>
          <w:p>
            <w:pPr>
              <w:widowControl/>
              <w:spacing w:line="400" w:lineRule="exact"/>
              <w:jc w:val="center"/>
              <w:rPr>
                <w:rFonts w:ascii="Times New Roman" w:hAnsi="Times New Roman"/>
                <w:b/>
                <w:bCs/>
                <w:color w:val="000000"/>
                <w:kern w:val="0"/>
                <w:szCs w:val="21"/>
              </w:rPr>
            </w:pPr>
            <w:r>
              <w:rPr>
                <w:rFonts w:ascii="Times New Roman" w:hAnsi="Times New Roman"/>
                <w:b/>
                <w:bCs/>
                <w:color w:val="000000"/>
                <w:kern w:val="0"/>
                <w:szCs w:val="21"/>
              </w:rPr>
              <w:t>数量（套）</w:t>
            </w:r>
          </w:p>
        </w:tc>
        <w:tc>
          <w:tcPr>
            <w:tcW w:w="1559" w:type="pct"/>
            <w:tcBorders>
              <w:top w:val="nil"/>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b/>
                <w:bCs/>
                <w:color w:val="000000"/>
                <w:kern w:val="0"/>
                <w:szCs w:val="21"/>
              </w:rPr>
            </w:pPr>
            <w:r>
              <w:rPr>
                <w:rFonts w:ascii="Times New Roman" w:hAnsi="Times New Roman"/>
                <w:b/>
                <w:bCs/>
                <w:color w:val="000000"/>
                <w:kern w:val="0"/>
                <w:szCs w:val="21"/>
              </w:rPr>
              <w:t>备注</w:t>
            </w:r>
          </w:p>
        </w:tc>
      </w:tr>
      <w:tr>
        <w:tblPrEx>
          <w:tblCellMar>
            <w:top w:w="0" w:type="dxa"/>
            <w:left w:w="108" w:type="dxa"/>
            <w:bottom w:w="0" w:type="dxa"/>
            <w:right w:w="108" w:type="dxa"/>
          </w:tblCellMar>
        </w:tblPrEx>
        <w:trPr>
          <w:trHeight w:val="383" w:hRule="atLeast"/>
          <w:jc w:val="center"/>
        </w:trPr>
        <w:tc>
          <w:tcPr>
            <w:tcW w:w="482" w:type="pct"/>
            <w:tcBorders>
              <w:top w:val="nil"/>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color w:val="000000"/>
                <w:kern w:val="0"/>
                <w:szCs w:val="21"/>
              </w:rPr>
            </w:pPr>
            <w:r>
              <w:rPr>
                <w:rFonts w:ascii="Times New Roman" w:hAnsi="Times New Roman"/>
                <w:color w:val="000000"/>
                <w:kern w:val="0"/>
                <w:szCs w:val="21"/>
              </w:rPr>
              <w:t>1</w:t>
            </w:r>
          </w:p>
        </w:tc>
        <w:tc>
          <w:tcPr>
            <w:tcW w:w="1660" w:type="pct"/>
            <w:tcBorders>
              <w:top w:val="nil"/>
              <w:left w:val="nil"/>
              <w:bottom w:val="single" w:color="auto" w:sz="4" w:space="0"/>
              <w:right w:val="single" w:color="auto" w:sz="4" w:space="0"/>
            </w:tcBorders>
            <w:vAlign w:val="center"/>
          </w:tcPr>
          <w:p>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9.00R20</w:t>
            </w:r>
          </w:p>
        </w:tc>
        <w:tc>
          <w:tcPr>
            <w:tcW w:w="1299" w:type="pct"/>
            <w:tcBorders>
              <w:top w:val="single" w:color="auto" w:sz="4" w:space="0"/>
              <w:left w:val="nil"/>
              <w:bottom w:val="single" w:color="auto" w:sz="4" w:space="0"/>
              <w:right w:val="single" w:color="auto" w:sz="4" w:space="0"/>
            </w:tcBorders>
            <w:vAlign w:val="center"/>
          </w:tcPr>
          <w:p>
            <w:pPr>
              <w:widowControl/>
              <w:spacing w:line="400" w:lineRule="exact"/>
              <w:jc w:val="center"/>
              <w:textAlignment w:val="center"/>
              <w:rPr>
                <w:rFonts w:ascii="Times New Roman" w:hAnsi="Times New Roman"/>
                <w:color w:val="000000"/>
                <w:szCs w:val="21"/>
              </w:rPr>
            </w:pPr>
            <w:r>
              <w:rPr>
                <w:rFonts w:ascii="Times New Roman" w:hAnsi="Times New Roman"/>
                <w:color w:val="000000"/>
                <w:szCs w:val="21"/>
              </w:rPr>
              <w:t>35</w:t>
            </w:r>
          </w:p>
        </w:tc>
        <w:tc>
          <w:tcPr>
            <w:tcW w:w="1559" w:type="pct"/>
            <w:vMerge w:val="restart"/>
            <w:tcBorders>
              <w:top w:val="nil"/>
              <w:left w:val="single" w:color="auto" w:sz="4" w:space="0"/>
              <w:right w:val="single" w:color="auto" w:sz="4" w:space="0"/>
            </w:tcBorders>
            <w:vAlign w:val="center"/>
          </w:tcPr>
          <w:p>
            <w:pPr>
              <w:widowControl/>
              <w:spacing w:line="400" w:lineRule="exact"/>
              <w:jc w:val="center"/>
              <w:textAlignment w:val="center"/>
              <w:rPr>
                <w:rFonts w:ascii="Times New Roman" w:hAnsi="Times New Roman"/>
                <w:color w:val="000000"/>
                <w:szCs w:val="21"/>
              </w:rPr>
            </w:pPr>
            <w:r>
              <w:rPr>
                <w:rFonts w:hint="eastAsia" w:ascii="Times New Roman" w:hAnsi="Times New Roman" w:cs="宋体"/>
                <w:bCs/>
                <w:color w:val="000000"/>
                <w:szCs w:val="21"/>
              </w:rPr>
              <w:t>大型轮胎，装配在9米以上公交车型（轮胎行驶里程不得低于120000公里），适用于新能源汽车</w:t>
            </w:r>
          </w:p>
        </w:tc>
      </w:tr>
      <w:tr>
        <w:tblPrEx>
          <w:tblCellMar>
            <w:top w:w="0" w:type="dxa"/>
            <w:left w:w="108" w:type="dxa"/>
            <w:bottom w:w="0" w:type="dxa"/>
            <w:right w:w="108" w:type="dxa"/>
          </w:tblCellMar>
        </w:tblPrEx>
        <w:trPr>
          <w:trHeight w:val="383" w:hRule="atLeast"/>
          <w:jc w:val="center"/>
        </w:trPr>
        <w:tc>
          <w:tcPr>
            <w:tcW w:w="482" w:type="pct"/>
            <w:tcBorders>
              <w:top w:val="nil"/>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color w:val="000000"/>
                <w:kern w:val="0"/>
                <w:szCs w:val="21"/>
              </w:rPr>
            </w:pPr>
            <w:r>
              <w:rPr>
                <w:rFonts w:ascii="Times New Roman" w:hAnsi="Times New Roman"/>
                <w:color w:val="000000"/>
                <w:kern w:val="0"/>
                <w:szCs w:val="21"/>
              </w:rPr>
              <w:t>2</w:t>
            </w:r>
          </w:p>
        </w:tc>
        <w:tc>
          <w:tcPr>
            <w:tcW w:w="1660" w:type="pct"/>
            <w:tcBorders>
              <w:top w:val="nil"/>
              <w:left w:val="nil"/>
              <w:bottom w:val="single" w:color="auto" w:sz="4" w:space="0"/>
              <w:right w:val="single" w:color="auto" w:sz="4" w:space="0"/>
            </w:tcBorders>
            <w:vAlign w:val="center"/>
          </w:tcPr>
          <w:p>
            <w:pPr>
              <w:widowControl/>
              <w:spacing w:line="400" w:lineRule="exact"/>
              <w:jc w:val="center"/>
              <w:textAlignment w:val="center"/>
              <w:rPr>
                <w:rFonts w:ascii="Times New Roman" w:hAnsi="Times New Roman"/>
                <w:color w:val="000000"/>
                <w:szCs w:val="21"/>
              </w:rPr>
            </w:pPr>
            <w:r>
              <w:rPr>
                <w:rFonts w:ascii="Times New Roman" w:hAnsi="Times New Roman"/>
                <w:color w:val="000000"/>
                <w:szCs w:val="21"/>
              </w:rPr>
              <w:t>9R22.5</w:t>
            </w:r>
          </w:p>
        </w:tc>
        <w:tc>
          <w:tcPr>
            <w:tcW w:w="1299" w:type="pct"/>
            <w:tcBorders>
              <w:top w:val="single" w:color="auto" w:sz="4" w:space="0"/>
              <w:left w:val="nil"/>
              <w:bottom w:val="single" w:color="auto" w:sz="4" w:space="0"/>
              <w:right w:val="single" w:color="auto" w:sz="4" w:space="0"/>
            </w:tcBorders>
            <w:vAlign w:val="center"/>
          </w:tcPr>
          <w:p>
            <w:pPr>
              <w:widowControl/>
              <w:spacing w:line="400" w:lineRule="exact"/>
              <w:jc w:val="center"/>
              <w:textAlignment w:val="center"/>
              <w:rPr>
                <w:rFonts w:ascii="Times New Roman" w:hAnsi="Times New Roman"/>
                <w:color w:val="000000"/>
                <w:szCs w:val="21"/>
              </w:rPr>
            </w:pPr>
            <w:r>
              <w:rPr>
                <w:rFonts w:ascii="Times New Roman" w:hAnsi="Times New Roman"/>
                <w:color w:val="000000"/>
                <w:szCs w:val="21"/>
              </w:rPr>
              <w:t>234</w:t>
            </w:r>
          </w:p>
        </w:tc>
        <w:tc>
          <w:tcPr>
            <w:tcW w:w="1559" w:type="pct"/>
            <w:vMerge w:val="continue"/>
            <w:tcBorders>
              <w:left w:val="single" w:color="auto" w:sz="4" w:space="0"/>
              <w:right w:val="single" w:color="auto" w:sz="4" w:space="0"/>
            </w:tcBorders>
            <w:vAlign w:val="center"/>
          </w:tcPr>
          <w:p>
            <w:pPr>
              <w:widowControl/>
              <w:spacing w:line="400" w:lineRule="exact"/>
              <w:jc w:val="center"/>
              <w:textAlignment w:val="center"/>
              <w:rPr>
                <w:rFonts w:ascii="Times New Roman" w:hAnsi="Times New Roman"/>
                <w:color w:val="000000"/>
                <w:szCs w:val="21"/>
              </w:rPr>
            </w:pPr>
          </w:p>
        </w:tc>
      </w:tr>
      <w:tr>
        <w:tblPrEx>
          <w:tblCellMar>
            <w:top w:w="0" w:type="dxa"/>
            <w:left w:w="108" w:type="dxa"/>
            <w:bottom w:w="0" w:type="dxa"/>
            <w:right w:w="108" w:type="dxa"/>
          </w:tblCellMar>
        </w:tblPrEx>
        <w:trPr>
          <w:trHeight w:val="383" w:hRule="atLeast"/>
          <w:jc w:val="center"/>
        </w:trPr>
        <w:tc>
          <w:tcPr>
            <w:tcW w:w="482" w:type="pct"/>
            <w:tcBorders>
              <w:top w:val="nil"/>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color w:val="000000"/>
                <w:kern w:val="0"/>
                <w:szCs w:val="21"/>
              </w:rPr>
            </w:pPr>
            <w:r>
              <w:rPr>
                <w:rFonts w:ascii="Times New Roman" w:hAnsi="Times New Roman"/>
                <w:color w:val="000000"/>
                <w:kern w:val="0"/>
                <w:szCs w:val="21"/>
              </w:rPr>
              <w:t>3</w:t>
            </w:r>
          </w:p>
        </w:tc>
        <w:tc>
          <w:tcPr>
            <w:tcW w:w="1660" w:type="pct"/>
            <w:tcBorders>
              <w:top w:val="nil"/>
              <w:left w:val="nil"/>
              <w:bottom w:val="single" w:color="auto" w:sz="4" w:space="0"/>
              <w:right w:val="single" w:color="auto" w:sz="4" w:space="0"/>
            </w:tcBorders>
            <w:vAlign w:val="center"/>
          </w:tcPr>
          <w:p>
            <w:pPr>
              <w:widowControl/>
              <w:spacing w:line="400" w:lineRule="exact"/>
              <w:jc w:val="center"/>
              <w:rPr>
                <w:rFonts w:ascii="Times New Roman" w:hAnsi="Times New Roman"/>
                <w:color w:val="000000"/>
                <w:kern w:val="0"/>
                <w:szCs w:val="21"/>
              </w:rPr>
            </w:pPr>
            <w:r>
              <w:rPr>
                <w:rFonts w:ascii="Times New Roman" w:hAnsi="Times New Roman"/>
                <w:color w:val="000000"/>
                <w:kern w:val="0"/>
                <w:szCs w:val="21"/>
              </w:rPr>
              <w:t>11R22.5</w:t>
            </w:r>
          </w:p>
        </w:tc>
        <w:tc>
          <w:tcPr>
            <w:tcW w:w="1299" w:type="pct"/>
            <w:tcBorders>
              <w:top w:val="single" w:color="auto" w:sz="4" w:space="0"/>
              <w:left w:val="nil"/>
              <w:bottom w:val="single" w:color="auto" w:sz="4" w:space="0"/>
              <w:right w:val="single" w:color="auto" w:sz="4" w:space="0"/>
            </w:tcBorders>
            <w:vAlign w:val="center"/>
          </w:tcPr>
          <w:p>
            <w:pPr>
              <w:widowControl/>
              <w:spacing w:line="400" w:lineRule="exact"/>
              <w:jc w:val="center"/>
              <w:rPr>
                <w:rFonts w:ascii="Times New Roman" w:hAnsi="Times New Roman"/>
                <w:color w:val="000000"/>
                <w:kern w:val="0"/>
                <w:szCs w:val="21"/>
              </w:rPr>
            </w:pPr>
            <w:r>
              <w:rPr>
                <w:rFonts w:ascii="Times New Roman" w:hAnsi="Times New Roman"/>
                <w:color w:val="000000"/>
                <w:kern w:val="0"/>
                <w:szCs w:val="21"/>
              </w:rPr>
              <w:t>370</w:t>
            </w:r>
          </w:p>
        </w:tc>
        <w:tc>
          <w:tcPr>
            <w:tcW w:w="1559" w:type="pct"/>
            <w:vMerge w:val="continue"/>
            <w:tcBorders>
              <w:left w:val="single" w:color="auto" w:sz="4" w:space="0"/>
              <w:right w:val="single" w:color="auto" w:sz="4" w:space="0"/>
            </w:tcBorders>
            <w:vAlign w:val="center"/>
          </w:tcPr>
          <w:p>
            <w:pPr>
              <w:widowControl/>
              <w:spacing w:line="400" w:lineRule="exact"/>
              <w:jc w:val="center"/>
              <w:rPr>
                <w:rFonts w:ascii="Times New Roman" w:hAnsi="Times New Roman"/>
                <w:color w:val="000000"/>
                <w:kern w:val="0"/>
                <w:szCs w:val="21"/>
              </w:rPr>
            </w:pPr>
          </w:p>
        </w:tc>
      </w:tr>
      <w:tr>
        <w:tblPrEx>
          <w:tblCellMar>
            <w:top w:w="0" w:type="dxa"/>
            <w:left w:w="108" w:type="dxa"/>
            <w:bottom w:w="0" w:type="dxa"/>
            <w:right w:w="108" w:type="dxa"/>
          </w:tblCellMar>
        </w:tblPrEx>
        <w:trPr>
          <w:trHeight w:val="383" w:hRule="atLeast"/>
          <w:jc w:val="center"/>
        </w:trPr>
        <w:tc>
          <w:tcPr>
            <w:tcW w:w="482" w:type="pct"/>
            <w:tcBorders>
              <w:top w:val="nil"/>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color w:val="000000"/>
                <w:kern w:val="0"/>
                <w:szCs w:val="21"/>
              </w:rPr>
            </w:pPr>
            <w:r>
              <w:rPr>
                <w:rFonts w:ascii="Times New Roman" w:hAnsi="Times New Roman"/>
                <w:color w:val="000000"/>
                <w:kern w:val="0"/>
                <w:szCs w:val="21"/>
              </w:rPr>
              <w:t>4</w:t>
            </w:r>
          </w:p>
        </w:tc>
        <w:tc>
          <w:tcPr>
            <w:tcW w:w="1660" w:type="pct"/>
            <w:tcBorders>
              <w:top w:val="nil"/>
              <w:left w:val="nil"/>
              <w:bottom w:val="single" w:color="auto" w:sz="4" w:space="0"/>
              <w:right w:val="single" w:color="auto" w:sz="4" w:space="0"/>
            </w:tcBorders>
            <w:vAlign w:val="center"/>
          </w:tcPr>
          <w:p>
            <w:pPr>
              <w:widowControl/>
              <w:spacing w:line="400" w:lineRule="exact"/>
              <w:jc w:val="center"/>
              <w:textAlignment w:val="center"/>
              <w:rPr>
                <w:rFonts w:ascii="Times New Roman" w:hAnsi="Times New Roman"/>
                <w:color w:val="000000"/>
                <w:szCs w:val="21"/>
              </w:rPr>
            </w:pPr>
            <w:r>
              <w:rPr>
                <w:rFonts w:ascii="Times New Roman" w:hAnsi="Times New Roman"/>
                <w:color w:val="000000"/>
                <w:szCs w:val="21"/>
              </w:rPr>
              <w:t>295/80R22.5</w:t>
            </w:r>
          </w:p>
        </w:tc>
        <w:tc>
          <w:tcPr>
            <w:tcW w:w="1299" w:type="pct"/>
            <w:tcBorders>
              <w:top w:val="single" w:color="auto" w:sz="4" w:space="0"/>
              <w:left w:val="nil"/>
              <w:bottom w:val="single" w:color="auto" w:sz="4" w:space="0"/>
              <w:right w:val="single" w:color="auto" w:sz="4" w:space="0"/>
            </w:tcBorders>
            <w:vAlign w:val="center"/>
          </w:tcPr>
          <w:p>
            <w:pPr>
              <w:widowControl/>
              <w:spacing w:line="400" w:lineRule="exact"/>
              <w:jc w:val="center"/>
              <w:textAlignment w:val="center"/>
              <w:rPr>
                <w:rFonts w:ascii="Times New Roman" w:hAnsi="Times New Roman"/>
                <w:color w:val="000000"/>
                <w:szCs w:val="21"/>
              </w:rPr>
            </w:pPr>
            <w:r>
              <w:rPr>
                <w:rFonts w:ascii="Times New Roman" w:hAnsi="Times New Roman"/>
                <w:color w:val="000000"/>
                <w:szCs w:val="21"/>
              </w:rPr>
              <w:t>106</w:t>
            </w:r>
          </w:p>
        </w:tc>
        <w:tc>
          <w:tcPr>
            <w:tcW w:w="1559" w:type="pct"/>
            <w:vMerge w:val="continue"/>
            <w:tcBorders>
              <w:left w:val="single" w:color="auto" w:sz="4" w:space="0"/>
              <w:right w:val="single" w:color="auto" w:sz="4" w:space="0"/>
            </w:tcBorders>
            <w:vAlign w:val="center"/>
          </w:tcPr>
          <w:p>
            <w:pPr>
              <w:widowControl/>
              <w:spacing w:line="400" w:lineRule="exact"/>
              <w:jc w:val="center"/>
              <w:textAlignment w:val="center"/>
              <w:rPr>
                <w:rFonts w:ascii="Times New Roman" w:hAnsi="Times New Roman"/>
                <w:color w:val="000000"/>
                <w:szCs w:val="21"/>
              </w:rPr>
            </w:pPr>
          </w:p>
        </w:tc>
      </w:tr>
      <w:tr>
        <w:tblPrEx>
          <w:tblCellMar>
            <w:top w:w="0" w:type="dxa"/>
            <w:left w:w="108" w:type="dxa"/>
            <w:bottom w:w="0" w:type="dxa"/>
            <w:right w:w="108" w:type="dxa"/>
          </w:tblCellMar>
        </w:tblPrEx>
        <w:trPr>
          <w:trHeight w:val="383" w:hRule="atLeast"/>
          <w:jc w:val="center"/>
        </w:trPr>
        <w:tc>
          <w:tcPr>
            <w:tcW w:w="482" w:type="pct"/>
            <w:tcBorders>
              <w:top w:val="nil"/>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color w:val="000000"/>
                <w:kern w:val="0"/>
                <w:szCs w:val="21"/>
              </w:rPr>
            </w:pPr>
            <w:r>
              <w:rPr>
                <w:rFonts w:hint="eastAsia" w:ascii="Times New Roman" w:hAnsi="Times New Roman"/>
                <w:color w:val="000000"/>
                <w:kern w:val="0"/>
                <w:szCs w:val="21"/>
              </w:rPr>
              <w:t>5</w:t>
            </w:r>
          </w:p>
        </w:tc>
        <w:tc>
          <w:tcPr>
            <w:tcW w:w="1660" w:type="pct"/>
            <w:tcBorders>
              <w:top w:val="nil"/>
              <w:left w:val="nil"/>
              <w:bottom w:val="single" w:color="auto" w:sz="4" w:space="0"/>
              <w:right w:val="single" w:color="auto" w:sz="4" w:space="0"/>
            </w:tcBorders>
            <w:vAlign w:val="center"/>
          </w:tcPr>
          <w:p>
            <w:pPr>
              <w:widowControl/>
              <w:spacing w:line="400" w:lineRule="exact"/>
              <w:jc w:val="center"/>
              <w:textAlignment w:val="center"/>
              <w:rPr>
                <w:rFonts w:ascii="Times New Roman" w:hAnsi="Times New Roman"/>
                <w:color w:val="000000"/>
                <w:szCs w:val="21"/>
              </w:rPr>
            </w:pPr>
            <w:r>
              <w:rPr>
                <w:rFonts w:ascii="Times New Roman" w:hAnsi="Times New Roman"/>
                <w:color w:val="000000"/>
                <w:szCs w:val="21"/>
              </w:rPr>
              <w:t>305/70R22.5</w:t>
            </w:r>
          </w:p>
        </w:tc>
        <w:tc>
          <w:tcPr>
            <w:tcW w:w="1299" w:type="pct"/>
            <w:tcBorders>
              <w:top w:val="single" w:color="auto" w:sz="4" w:space="0"/>
              <w:left w:val="nil"/>
              <w:bottom w:val="single" w:color="auto" w:sz="4" w:space="0"/>
              <w:right w:val="single" w:color="auto" w:sz="4" w:space="0"/>
            </w:tcBorders>
            <w:vAlign w:val="center"/>
          </w:tcPr>
          <w:p>
            <w:pPr>
              <w:widowControl/>
              <w:spacing w:line="400" w:lineRule="exact"/>
              <w:jc w:val="center"/>
              <w:textAlignment w:val="center"/>
              <w:rPr>
                <w:rFonts w:ascii="Times New Roman" w:hAnsi="Times New Roman"/>
                <w:color w:val="000000"/>
                <w:szCs w:val="21"/>
              </w:rPr>
            </w:pPr>
            <w:r>
              <w:rPr>
                <w:rFonts w:ascii="Times New Roman" w:hAnsi="Times New Roman"/>
                <w:color w:val="000000"/>
                <w:szCs w:val="21"/>
              </w:rPr>
              <w:t>30</w:t>
            </w:r>
          </w:p>
        </w:tc>
        <w:tc>
          <w:tcPr>
            <w:tcW w:w="1559" w:type="pct"/>
            <w:vMerge w:val="continue"/>
            <w:tcBorders>
              <w:left w:val="single" w:color="auto" w:sz="4" w:space="0"/>
              <w:bottom w:val="single" w:color="auto" w:sz="4" w:space="0"/>
              <w:right w:val="single" w:color="auto" w:sz="4" w:space="0"/>
            </w:tcBorders>
            <w:vAlign w:val="center"/>
          </w:tcPr>
          <w:p>
            <w:pPr>
              <w:widowControl/>
              <w:spacing w:line="400" w:lineRule="exact"/>
              <w:jc w:val="center"/>
              <w:textAlignment w:val="center"/>
              <w:rPr>
                <w:rFonts w:ascii="Times New Roman" w:hAnsi="Times New Roman"/>
                <w:color w:val="000000"/>
                <w:szCs w:val="21"/>
              </w:rPr>
            </w:pPr>
          </w:p>
        </w:tc>
      </w:tr>
      <w:tr>
        <w:tblPrEx>
          <w:tblCellMar>
            <w:top w:w="0" w:type="dxa"/>
            <w:left w:w="108" w:type="dxa"/>
            <w:bottom w:w="0" w:type="dxa"/>
            <w:right w:w="108" w:type="dxa"/>
          </w:tblCellMar>
        </w:tblPrEx>
        <w:trPr>
          <w:trHeight w:val="383"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color w:val="000000"/>
                <w:kern w:val="0"/>
                <w:szCs w:val="21"/>
              </w:rPr>
            </w:pPr>
            <w:r>
              <w:rPr>
                <w:rFonts w:ascii="Times New Roman" w:hAnsi="Times New Roman"/>
                <w:b/>
                <w:bCs/>
                <w:color w:val="000000"/>
                <w:kern w:val="0"/>
                <w:szCs w:val="21"/>
              </w:rPr>
              <w:t>三标段</w:t>
            </w:r>
          </w:p>
        </w:tc>
      </w:tr>
      <w:tr>
        <w:tblPrEx>
          <w:tblCellMar>
            <w:top w:w="0" w:type="dxa"/>
            <w:left w:w="108" w:type="dxa"/>
            <w:bottom w:w="0" w:type="dxa"/>
            <w:right w:w="108" w:type="dxa"/>
          </w:tblCellMar>
        </w:tblPrEx>
        <w:trPr>
          <w:trHeight w:val="383"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b/>
                <w:bCs/>
                <w:color w:val="000000"/>
                <w:kern w:val="0"/>
                <w:szCs w:val="21"/>
              </w:rPr>
            </w:pPr>
            <w:r>
              <w:rPr>
                <w:rFonts w:ascii="Times New Roman" w:hAnsi="Times New Roman"/>
                <w:b/>
                <w:bCs/>
                <w:color w:val="000000"/>
                <w:kern w:val="0"/>
                <w:szCs w:val="21"/>
              </w:rPr>
              <w:t>序号</w:t>
            </w:r>
          </w:p>
        </w:tc>
        <w:tc>
          <w:tcPr>
            <w:tcW w:w="1660" w:type="pct"/>
            <w:tcBorders>
              <w:top w:val="single" w:color="auto" w:sz="4" w:space="0"/>
              <w:left w:val="nil"/>
              <w:bottom w:val="single" w:color="auto" w:sz="4" w:space="0"/>
              <w:right w:val="single" w:color="auto" w:sz="4" w:space="0"/>
            </w:tcBorders>
            <w:vAlign w:val="center"/>
          </w:tcPr>
          <w:p>
            <w:pPr>
              <w:widowControl/>
              <w:spacing w:line="400" w:lineRule="exact"/>
              <w:jc w:val="center"/>
              <w:rPr>
                <w:rFonts w:ascii="Times New Roman" w:hAnsi="Times New Roman"/>
                <w:b/>
                <w:bCs/>
                <w:color w:val="000000"/>
                <w:kern w:val="0"/>
                <w:szCs w:val="21"/>
              </w:rPr>
            </w:pPr>
            <w:r>
              <w:rPr>
                <w:rFonts w:ascii="Times New Roman" w:hAnsi="Times New Roman"/>
                <w:b/>
                <w:bCs/>
                <w:color w:val="000000"/>
                <w:kern w:val="0"/>
                <w:szCs w:val="21"/>
              </w:rPr>
              <w:t>轮胎规格</w:t>
            </w:r>
          </w:p>
        </w:tc>
        <w:tc>
          <w:tcPr>
            <w:tcW w:w="1299" w:type="pct"/>
            <w:tcBorders>
              <w:top w:val="single" w:color="auto" w:sz="4" w:space="0"/>
              <w:left w:val="nil"/>
              <w:bottom w:val="single" w:color="auto" w:sz="4" w:space="0"/>
              <w:right w:val="single" w:color="auto" w:sz="4" w:space="0"/>
            </w:tcBorders>
            <w:vAlign w:val="center"/>
          </w:tcPr>
          <w:p>
            <w:pPr>
              <w:widowControl/>
              <w:spacing w:line="400" w:lineRule="exact"/>
              <w:jc w:val="center"/>
              <w:rPr>
                <w:rFonts w:ascii="Times New Roman" w:hAnsi="Times New Roman"/>
                <w:b/>
                <w:bCs/>
                <w:color w:val="000000"/>
                <w:kern w:val="0"/>
                <w:szCs w:val="21"/>
              </w:rPr>
            </w:pPr>
            <w:r>
              <w:rPr>
                <w:rFonts w:ascii="Times New Roman" w:hAnsi="Times New Roman"/>
                <w:b/>
                <w:bCs/>
                <w:color w:val="000000"/>
                <w:kern w:val="0"/>
                <w:szCs w:val="21"/>
              </w:rPr>
              <w:t>数量（套）</w:t>
            </w:r>
          </w:p>
        </w:tc>
        <w:tc>
          <w:tcPr>
            <w:tcW w:w="1559"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b/>
                <w:bCs/>
                <w:color w:val="000000"/>
                <w:kern w:val="0"/>
                <w:szCs w:val="21"/>
              </w:rPr>
            </w:pPr>
            <w:r>
              <w:rPr>
                <w:rFonts w:ascii="Times New Roman" w:hAnsi="Times New Roman"/>
                <w:b/>
                <w:bCs/>
                <w:color w:val="000000"/>
                <w:kern w:val="0"/>
                <w:szCs w:val="21"/>
              </w:rPr>
              <w:t>备注</w:t>
            </w:r>
          </w:p>
        </w:tc>
      </w:tr>
      <w:tr>
        <w:tblPrEx>
          <w:tblCellMar>
            <w:top w:w="0" w:type="dxa"/>
            <w:left w:w="108" w:type="dxa"/>
            <w:bottom w:w="0" w:type="dxa"/>
            <w:right w:w="108" w:type="dxa"/>
          </w:tblCellMar>
        </w:tblPrEx>
        <w:trPr>
          <w:trHeight w:val="383"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color w:val="000000"/>
                <w:kern w:val="0"/>
                <w:szCs w:val="21"/>
              </w:rPr>
            </w:pPr>
            <w:r>
              <w:rPr>
                <w:rFonts w:hint="eastAsia" w:ascii="Times New Roman" w:hAnsi="Times New Roman"/>
                <w:color w:val="000000"/>
                <w:kern w:val="0"/>
                <w:szCs w:val="21"/>
              </w:rPr>
              <w:t>1</w:t>
            </w:r>
          </w:p>
        </w:tc>
        <w:tc>
          <w:tcPr>
            <w:tcW w:w="1660" w:type="pct"/>
            <w:tcBorders>
              <w:top w:val="single" w:color="auto" w:sz="4" w:space="0"/>
              <w:left w:val="nil"/>
              <w:bottom w:val="single" w:color="auto" w:sz="4" w:space="0"/>
              <w:right w:val="single" w:color="auto" w:sz="4" w:space="0"/>
            </w:tcBorders>
            <w:vAlign w:val="center"/>
          </w:tcPr>
          <w:p>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lang w:bidi="ar"/>
              </w:rPr>
              <w:t>185/75R16LT</w:t>
            </w:r>
          </w:p>
        </w:tc>
        <w:tc>
          <w:tcPr>
            <w:tcW w:w="1299" w:type="pct"/>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rPr>
            </w:pPr>
            <w:r>
              <w:rPr>
                <w:rFonts w:ascii="Times New Roman" w:hAnsi="Times New Roman"/>
              </w:rPr>
              <w:t>9</w:t>
            </w:r>
          </w:p>
        </w:tc>
        <w:tc>
          <w:tcPr>
            <w:tcW w:w="1559" w:type="pct"/>
            <w:vMerge w:val="restart"/>
            <w:tcBorders>
              <w:top w:val="single" w:color="auto" w:sz="4" w:space="0"/>
              <w:left w:val="single" w:color="auto" w:sz="4" w:space="0"/>
              <w:right w:val="single" w:color="auto" w:sz="4" w:space="0"/>
            </w:tcBorders>
            <w:vAlign w:val="center"/>
          </w:tcPr>
          <w:p>
            <w:pPr>
              <w:widowControl/>
              <w:spacing w:line="400" w:lineRule="exact"/>
              <w:jc w:val="center"/>
              <w:textAlignment w:val="center"/>
              <w:rPr>
                <w:rFonts w:ascii="Times New Roman" w:hAnsi="Times New Roman"/>
                <w:color w:val="000000"/>
                <w:szCs w:val="21"/>
              </w:rPr>
            </w:pPr>
            <w:r>
              <w:rPr>
                <w:rFonts w:hint="eastAsia" w:ascii="Times New Roman" w:hAnsi="Times New Roman" w:cs="宋体"/>
                <w:bCs/>
                <w:color w:val="000000"/>
                <w:szCs w:val="21"/>
              </w:rPr>
              <w:t>高速公路行驶的旅游、长途客运车辆使用轮胎（轮胎花纹深度达到高速使用需求，行驶里程不得低于170000公里）</w:t>
            </w:r>
          </w:p>
        </w:tc>
      </w:tr>
      <w:tr>
        <w:tblPrEx>
          <w:tblCellMar>
            <w:top w:w="0" w:type="dxa"/>
            <w:left w:w="108" w:type="dxa"/>
            <w:bottom w:w="0" w:type="dxa"/>
            <w:right w:w="108" w:type="dxa"/>
          </w:tblCellMar>
        </w:tblPrEx>
        <w:trPr>
          <w:trHeight w:val="383"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color w:val="000000"/>
                <w:kern w:val="0"/>
                <w:szCs w:val="21"/>
              </w:rPr>
            </w:pPr>
            <w:r>
              <w:rPr>
                <w:rFonts w:hint="eastAsia" w:ascii="Times New Roman" w:hAnsi="Times New Roman"/>
                <w:color w:val="000000"/>
                <w:kern w:val="0"/>
                <w:szCs w:val="21"/>
              </w:rPr>
              <w:t>2</w:t>
            </w:r>
          </w:p>
        </w:tc>
        <w:tc>
          <w:tcPr>
            <w:tcW w:w="1660" w:type="pct"/>
            <w:tcBorders>
              <w:top w:val="single" w:color="auto" w:sz="4" w:space="0"/>
              <w:left w:val="nil"/>
              <w:bottom w:val="single" w:color="auto" w:sz="4" w:space="0"/>
              <w:right w:val="single" w:color="auto" w:sz="4" w:space="0"/>
            </w:tcBorders>
            <w:vAlign w:val="center"/>
          </w:tcPr>
          <w:p>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lang w:bidi="ar"/>
              </w:rPr>
              <w:t>215/75R16C</w:t>
            </w:r>
          </w:p>
        </w:tc>
        <w:tc>
          <w:tcPr>
            <w:tcW w:w="1299" w:type="pct"/>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rPr>
            </w:pPr>
            <w:r>
              <w:rPr>
                <w:rFonts w:ascii="Times New Roman" w:hAnsi="Times New Roman"/>
              </w:rPr>
              <w:t>9</w:t>
            </w:r>
          </w:p>
        </w:tc>
        <w:tc>
          <w:tcPr>
            <w:tcW w:w="1559" w:type="pct"/>
            <w:vMerge w:val="continue"/>
            <w:tcBorders>
              <w:left w:val="single" w:color="auto" w:sz="4" w:space="0"/>
              <w:right w:val="single" w:color="auto" w:sz="4" w:space="0"/>
            </w:tcBorders>
            <w:vAlign w:val="center"/>
          </w:tcPr>
          <w:p>
            <w:pPr>
              <w:widowControl/>
              <w:spacing w:line="400" w:lineRule="exact"/>
              <w:jc w:val="center"/>
              <w:textAlignment w:val="center"/>
              <w:rPr>
                <w:rFonts w:ascii="Times New Roman" w:hAnsi="Times New Roman"/>
                <w:color w:val="000000"/>
                <w:szCs w:val="21"/>
              </w:rPr>
            </w:pPr>
          </w:p>
        </w:tc>
      </w:tr>
      <w:tr>
        <w:tblPrEx>
          <w:tblCellMar>
            <w:top w:w="0" w:type="dxa"/>
            <w:left w:w="108" w:type="dxa"/>
            <w:bottom w:w="0" w:type="dxa"/>
            <w:right w:w="108" w:type="dxa"/>
          </w:tblCellMar>
        </w:tblPrEx>
        <w:trPr>
          <w:trHeight w:val="383"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color w:val="000000"/>
                <w:kern w:val="0"/>
                <w:szCs w:val="21"/>
              </w:rPr>
            </w:pPr>
            <w:r>
              <w:rPr>
                <w:rFonts w:hint="eastAsia" w:ascii="Times New Roman" w:hAnsi="Times New Roman"/>
                <w:color w:val="000000"/>
                <w:kern w:val="0"/>
                <w:szCs w:val="21"/>
              </w:rPr>
              <w:t>3</w:t>
            </w:r>
          </w:p>
        </w:tc>
        <w:tc>
          <w:tcPr>
            <w:tcW w:w="1660" w:type="pct"/>
            <w:tcBorders>
              <w:top w:val="single" w:color="auto" w:sz="4" w:space="0"/>
              <w:left w:val="nil"/>
              <w:bottom w:val="single" w:color="auto" w:sz="4" w:space="0"/>
              <w:right w:val="single" w:color="auto" w:sz="4" w:space="0"/>
            </w:tcBorders>
            <w:vAlign w:val="center"/>
          </w:tcPr>
          <w:p>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lang w:bidi="ar"/>
              </w:rPr>
              <w:t>215/75R17.5</w:t>
            </w:r>
          </w:p>
        </w:tc>
        <w:tc>
          <w:tcPr>
            <w:tcW w:w="1299" w:type="pct"/>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rPr>
            </w:pPr>
            <w:r>
              <w:rPr>
                <w:rFonts w:ascii="Times New Roman" w:hAnsi="Times New Roman"/>
              </w:rPr>
              <w:t>15</w:t>
            </w:r>
          </w:p>
        </w:tc>
        <w:tc>
          <w:tcPr>
            <w:tcW w:w="1559" w:type="pct"/>
            <w:vMerge w:val="continue"/>
            <w:tcBorders>
              <w:left w:val="single" w:color="auto" w:sz="4" w:space="0"/>
              <w:right w:val="single" w:color="auto" w:sz="4" w:space="0"/>
            </w:tcBorders>
            <w:vAlign w:val="center"/>
          </w:tcPr>
          <w:p>
            <w:pPr>
              <w:widowControl/>
              <w:spacing w:line="400" w:lineRule="exact"/>
              <w:jc w:val="center"/>
              <w:textAlignment w:val="center"/>
              <w:rPr>
                <w:rFonts w:ascii="Times New Roman" w:hAnsi="Times New Roman"/>
                <w:color w:val="000000"/>
                <w:szCs w:val="21"/>
              </w:rPr>
            </w:pPr>
          </w:p>
        </w:tc>
      </w:tr>
      <w:tr>
        <w:tblPrEx>
          <w:tblCellMar>
            <w:top w:w="0" w:type="dxa"/>
            <w:left w:w="108" w:type="dxa"/>
            <w:bottom w:w="0" w:type="dxa"/>
            <w:right w:w="108" w:type="dxa"/>
          </w:tblCellMar>
        </w:tblPrEx>
        <w:trPr>
          <w:trHeight w:val="383"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color w:val="000000"/>
                <w:kern w:val="0"/>
                <w:szCs w:val="21"/>
              </w:rPr>
            </w:pPr>
            <w:r>
              <w:rPr>
                <w:rFonts w:hint="eastAsia" w:ascii="Times New Roman" w:hAnsi="Times New Roman"/>
                <w:color w:val="000000"/>
                <w:kern w:val="0"/>
                <w:szCs w:val="21"/>
              </w:rPr>
              <w:t>4</w:t>
            </w:r>
          </w:p>
        </w:tc>
        <w:tc>
          <w:tcPr>
            <w:tcW w:w="1660" w:type="pct"/>
            <w:tcBorders>
              <w:top w:val="single" w:color="auto" w:sz="4" w:space="0"/>
              <w:left w:val="nil"/>
              <w:bottom w:val="single" w:color="auto" w:sz="4" w:space="0"/>
              <w:right w:val="single" w:color="auto" w:sz="4" w:space="0"/>
            </w:tcBorders>
            <w:vAlign w:val="center"/>
          </w:tcPr>
          <w:p>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lang w:bidi="ar"/>
              </w:rPr>
              <w:t>10R22.5</w:t>
            </w:r>
          </w:p>
        </w:tc>
        <w:tc>
          <w:tcPr>
            <w:tcW w:w="1299" w:type="pct"/>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rPr>
            </w:pPr>
            <w:r>
              <w:rPr>
                <w:rFonts w:ascii="Times New Roman" w:hAnsi="Times New Roman"/>
              </w:rPr>
              <w:t>41</w:t>
            </w:r>
          </w:p>
        </w:tc>
        <w:tc>
          <w:tcPr>
            <w:tcW w:w="1559" w:type="pct"/>
            <w:vMerge w:val="continue"/>
            <w:tcBorders>
              <w:left w:val="single" w:color="auto" w:sz="4" w:space="0"/>
              <w:right w:val="single" w:color="auto" w:sz="4" w:space="0"/>
            </w:tcBorders>
            <w:vAlign w:val="center"/>
          </w:tcPr>
          <w:p>
            <w:pPr>
              <w:widowControl/>
              <w:spacing w:line="400" w:lineRule="exact"/>
              <w:jc w:val="center"/>
              <w:textAlignment w:val="center"/>
              <w:rPr>
                <w:rFonts w:ascii="Times New Roman" w:hAnsi="Times New Roman"/>
                <w:color w:val="000000"/>
                <w:szCs w:val="21"/>
              </w:rPr>
            </w:pPr>
          </w:p>
        </w:tc>
      </w:tr>
      <w:tr>
        <w:tblPrEx>
          <w:tblCellMar>
            <w:top w:w="0" w:type="dxa"/>
            <w:left w:w="108" w:type="dxa"/>
            <w:bottom w:w="0" w:type="dxa"/>
            <w:right w:w="108" w:type="dxa"/>
          </w:tblCellMar>
        </w:tblPrEx>
        <w:trPr>
          <w:trHeight w:val="383"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color w:val="000000"/>
                <w:kern w:val="0"/>
                <w:szCs w:val="21"/>
              </w:rPr>
            </w:pPr>
            <w:r>
              <w:rPr>
                <w:rFonts w:hint="eastAsia" w:ascii="Times New Roman" w:hAnsi="Times New Roman"/>
                <w:color w:val="000000"/>
                <w:kern w:val="0"/>
                <w:szCs w:val="21"/>
              </w:rPr>
              <w:t>5</w:t>
            </w:r>
          </w:p>
        </w:tc>
        <w:tc>
          <w:tcPr>
            <w:tcW w:w="1660" w:type="pct"/>
            <w:tcBorders>
              <w:top w:val="single" w:color="auto" w:sz="4" w:space="0"/>
              <w:left w:val="nil"/>
              <w:bottom w:val="single" w:color="auto" w:sz="4" w:space="0"/>
              <w:right w:val="single" w:color="auto" w:sz="4" w:space="0"/>
            </w:tcBorders>
            <w:vAlign w:val="center"/>
          </w:tcPr>
          <w:p>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lang w:bidi="ar"/>
              </w:rPr>
              <w:t>11R22.5</w:t>
            </w:r>
          </w:p>
        </w:tc>
        <w:tc>
          <w:tcPr>
            <w:tcW w:w="1299" w:type="pct"/>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rPr>
            </w:pPr>
            <w:r>
              <w:rPr>
                <w:rFonts w:ascii="Times New Roman" w:hAnsi="Times New Roman"/>
              </w:rPr>
              <w:t>59</w:t>
            </w:r>
          </w:p>
        </w:tc>
        <w:tc>
          <w:tcPr>
            <w:tcW w:w="1559" w:type="pct"/>
            <w:vMerge w:val="continue"/>
            <w:tcBorders>
              <w:left w:val="single" w:color="auto" w:sz="4" w:space="0"/>
              <w:right w:val="single" w:color="auto" w:sz="4" w:space="0"/>
            </w:tcBorders>
            <w:vAlign w:val="center"/>
          </w:tcPr>
          <w:p>
            <w:pPr>
              <w:widowControl/>
              <w:spacing w:line="400" w:lineRule="exact"/>
              <w:jc w:val="center"/>
              <w:textAlignment w:val="center"/>
              <w:rPr>
                <w:rFonts w:ascii="Times New Roman" w:hAnsi="Times New Roman"/>
                <w:color w:val="000000"/>
                <w:szCs w:val="21"/>
              </w:rPr>
            </w:pPr>
          </w:p>
        </w:tc>
      </w:tr>
      <w:tr>
        <w:tblPrEx>
          <w:tblCellMar>
            <w:top w:w="0" w:type="dxa"/>
            <w:left w:w="108" w:type="dxa"/>
            <w:bottom w:w="0" w:type="dxa"/>
            <w:right w:w="108" w:type="dxa"/>
          </w:tblCellMar>
        </w:tblPrEx>
        <w:trPr>
          <w:trHeight w:val="383"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color w:val="000000"/>
                <w:kern w:val="0"/>
                <w:szCs w:val="21"/>
              </w:rPr>
            </w:pPr>
            <w:r>
              <w:rPr>
                <w:rFonts w:hint="eastAsia" w:ascii="Times New Roman" w:hAnsi="Times New Roman"/>
                <w:color w:val="000000"/>
                <w:kern w:val="0"/>
                <w:szCs w:val="21"/>
              </w:rPr>
              <w:t>6</w:t>
            </w:r>
          </w:p>
        </w:tc>
        <w:tc>
          <w:tcPr>
            <w:tcW w:w="1660" w:type="pct"/>
            <w:tcBorders>
              <w:top w:val="single" w:color="auto" w:sz="4" w:space="0"/>
              <w:left w:val="nil"/>
              <w:bottom w:val="single" w:color="auto" w:sz="4" w:space="0"/>
              <w:right w:val="single" w:color="auto" w:sz="4" w:space="0"/>
            </w:tcBorders>
            <w:vAlign w:val="center"/>
          </w:tcPr>
          <w:p>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lang w:bidi="ar"/>
              </w:rPr>
              <w:t>255/70R22.5</w:t>
            </w:r>
          </w:p>
        </w:tc>
        <w:tc>
          <w:tcPr>
            <w:tcW w:w="1299" w:type="pct"/>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rPr>
            </w:pPr>
            <w:r>
              <w:rPr>
                <w:rFonts w:ascii="Times New Roman" w:hAnsi="Times New Roman"/>
              </w:rPr>
              <w:t>13</w:t>
            </w:r>
          </w:p>
        </w:tc>
        <w:tc>
          <w:tcPr>
            <w:tcW w:w="1559" w:type="pct"/>
            <w:vMerge w:val="continue"/>
            <w:tcBorders>
              <w:left w:val="single" w:color="auto" w:sz="4" w:space="0"/>
              <w:right w:val="single" w:color="auto" w:sz="4" w:space="0"/>
            </w:tcBorders>
            <w:vAlign w:val="center"/>
          </w:tcPr>
          <w:p>
            <w:pPr>
              <w:widowControl/>
              <w:spacing w:line="400" w:lineRule="exact"/>
              <w:jc w:val="center"/>
              <w:textAlignment w:val="center"/>
              <w:rPr>
                <w:rFonts w:ascii="Times New Roman" w:hAnsi="Times New Roman"/>
                <w:color w:val="000000"/>
                <w:szCs w:val="21"/>
              </w:rPr>
            </w:pPr>
          </w:p>
        </w:tc>
      </w:tr>
      <w:tr>
        <w:tblPrEx>
          <w:tblCellMar>
            <w:top w:w="0" w:type="dxa"/>
            <w:left w:w="108" w:type="dxa"/>
            <w:bottom w:w="0" w:type="dxa"/>
            <w:right w:w="108" w:type="dxa"/>
          </w:tblCellMar>
        </w:tblPrEx>
        <w:trPr>
          <w:trHeight w:val="383"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color w:val="000000"/>
                <w:kern w:val="0"/>
                <w:szCs w:val="21"/>
              </w:rPr>
            </w:pPr>
            <w:r>
              <w:rPr>
                <w:rFonts w:hint="eastAsia" w:ascii="Times New Roman" w:hAnsi="Times New Roman"/>
                <w:color w:val="000000"/>
                <w:kern w:val="0"/>
                <w:szCs w:val="21"/>
              </w:rPr>
              <w:t>7</w:t>
            </w:r>
          </w:p>
        </w:tc>
        <w:tc>
          <w:tcPr>
            <w:tcW w:w="1660" w:type="pct"/>
            <w:tcBorders>
              <w:top w:val="single" w:color="auto" w:sz="4" w:space="0"/>
              <w:left w:val="nil"/>
              <w:bottom w:val="single" w:color="auto" w:sz="4" w:space="0"/>
              <w:right w:val="single" w:color="auto" w:sz="4" w:space="0"/>
            </w:tcBorders>
            <w:vAlign w:val="center"/>
          </w:tcPr>
          <w:p>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lang w:bidi="ar"/>
              </w:rPr>
              <w:t>295/80R22.5</w:t>
            </w:r>
          </w:p>
        </w:tc>
        <w:tc>
          <w:tcPr>
            <w:tcW w:w="1299" w:type="pct"/>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rPr>
            </w:pPr>
            <w:r>
              <w:rPr>
                <w:rFonts w:ascii="Times New Roman" w:hAnsi="Times New Roman"/>
              </w:rPr>
              <w:t>43</w:t>
            </w:r>
          </w:p>
        </w:tc>
        <w:tc>
          <w:tcPr>
            <w:tcW w:w="1559" w:type="pct"/>
            <w:vMerge w:val="continue"/>
            <w:tcBorders>
              <w:left w:val="single" w:color="auto" w:sz="4" w:space="0"/>
              <w:right w:val="single" w:color="auto" w:sz="4" w:space="0"/>
            </w:tcBorders>
            <w:vAlign w:val="center"/>
          </w:tcPr>
          <w:p>
            <w:pPr>
              <w:widowControl/>
              <w:spacing w:line="400" w:lineRule="exact"/>
              <w:jc w:val="center"/>
              <w:textAlignment w:val="center"/>
              <w:rPr>
                <w:rFonts w:ascii="Times New Roman" w:hAnsi="Times New Roman"/>
                <w:color w:val="000000"/>
                <w:szCs w:val="21"/>
              </w:rPr>
            </w:pPr>
          </w:p>
        </w:tc>
      </w:tr>
      <w:tr>
        <w:tblPrEx>
          <w:tblCellMar>
            <w:top w:w="0" w:type="dxa"/>
            <w:left w:w="108" w:type="dxa"/>
            <w:bottom w:w="0" w:type="dxa"/>
            <w:right w:w="108" w:type="dxa"/>
          </w:tblCellMar>
        </w:tblPrEx>
        <w:trPr>
          <w:trHeight w:val="383"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color w:val="000000"/>
                <w:kern w:val="0"/>
                <w:szCs w:val="21"/>
              </w:rPr>
            </w:pPr>
            <w:r>
              <w:rPr>
                <w:rFonts w:hint="eastAsia" w:ascii="Times New Roman" w:hAnsi="Times New Roman"/>
                <w:color w:val="000000"/>
                <w:kern w:val="0"/>
                <w:szCs w:val="21"/>
              </w:rPr>
              <w:t>8</w:t>
            </w:r>
          </w:p>
        </w:tc>
        <w:tc>
          <w:tcPr>
            <w:tcW w:w="1660" w:type="pct"/>
            <w:tcBorders>
              <w:top w:val="single" w:color="auto" w:sz="4" w:space="0"/>
              <w:left w:val="nil"/>
              <w:bottom w:val="single" w:color="auto" w:sz="4" w:space="0"/>
              <w:right w:val="single" w:color="auto" w:sz="4" w:space="0"/>
            </w:tcBorders>
            <w:vAlign w:val="center"/>
          </w:tcPr>
          <w:p>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lang w:bidi="ar"/>
              </w:rPr>
              <w:t>7.00R16</w:t>
            </w:r>
          </w:p>
        </w:tc>
        <w:tc>
          <w:tcPr>
            <w:tcW w:w="1299" w:type="pct"/>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rPr>
            </w:pPr>
            <w:r>
              <w:rPr>
                <w:rFonts w:ascii="Times New Roman" w:hAnsi="Times New Roman"/>
              </w:rPr>
              <w:t>61</w:t>
            </w:r>
          </w:p>
        </w:tc>
        <w:tc>
          <w:tcPr>
            <w:tcW w:w="1559" w:type="pct"/>
            <w:vMerge w:val="continue"/>
            <w:tcBorders>
              <w:left w:val="single" w:color="auto" w:sz="4" w:space="0"/>
              <w:right w:val="single" w:color="auto" w:sz="4" w:space="0"/>
            </w:tcBorders>
            <w:vAlign w:val="center"/>
          </w:tcPr>
          <w:p>
            <w:pPr>
              <w:widowControl/>
              <w:spacing w:line="400" w:lineRule="exact"/>
              <w:jc w:val="center"/>
              <w:textAlignment w:val="center"/>
              <w:rPr>
                <w:rFonts w:ascii="Times New Roman" w:hAnsi="Times New Roman"/>
                <w:color w:val="000000"/>
                <w:szCs w:val="21"/>
              </w:rPr>
            </w:pPr>
          </w:p>
        </w:tc>
      </w:tr>
      <w:tr>
        <w:tblPrEx>
          <w:tblCellMar>
            <w:top w:w="0" w:type="dxa"/>
            <w:left w:w="108" w:type="dxa"/>
            <w:bottom w:w="0" w:type="dxa"/>
            <w:right w:w="108" w:type="dxa"/>
          </w:tblCellMar>
        </w:tblPrEx>
        <w:trPr>
          <w:trHeight w:val="383"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color w:val="000000"/>
                <w:kern w:val="0"/>
                <w:szCs w:val="21"/>
              </w:rPr>
            </w:pPr>
            <w:r>
              <w:rPr>
                <w:rFonts w:hint="eastAsia" w:ascii="Times New Roman" w:hAnsi="Times New Roman"/>
                <w:color w:val="000000"/>
                <w:kern w:val="0"/>
                <w:szCs w:val="21"/>
              </w:rPr>
              <w:t>9</w:t>
            </w:r>
          </w:p>
        </w:tc>
        <w:tc>
          <w:tcPr>
            <w:tcW w:w="1660" w:type="pct"/>
            <w:tcBorders>
              <w:top w:val="single" w:color="auto" w:sz="4" w:space="0"/>
              <w:left w:val="nil"/>
              <w:bottom w:val="single" w:color="auto" w:sz="4" w:space="0"/>
              <w:right w:val="single" w:color="auto" w:sz="4" w:space="0"/>
            </w:tcBorders>
            <w:vAlign w:val="center"/>
          </w:tcPr>
          <w:p>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lang w:bidi="ar"/>
              </w:rPr>
              <w:t>7.50R16LT</w:t>
            </w:r>
          </w:p>
        </w:tc>
        <w:tc>
          <w:tcPr>
            <w:tcW w:w="1299" w:type="pct"/>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rPr>
            </w:pPr>
            <w:r>
              <w:rPr>
                <w:rFonts w:ascii="Times New Roman" w:hAnsi="Times New Roman"/>
              </w:rPr>
              <w:t>10</w:t>
            </w:r>
          </w:p>
        </w:tc>
        <w:tc>
          <w:tcPr>
            <w:tcW w:w="1559" w:type="pct"/>
            <w:vMerge w:val="continue"/>
            <w:tcBorders>
              <w:left w:val="single" w:color="auto" w:sz="4" w:space="0"/>
              <w:right w:val="single" w:color="auto" w:sz="4" w:space="0"/>
            </w:tcBorders>
            <w:vAlign w:val="center"/>
          </w:tcPr>
          <w:p>
            <w:pPr>
              <w:widowControl/>
              <w:spacing w:line="400" w:lineRule="exact"/>
              <w:jc w:val="center"/>
              <w:textAlignment w:val="center"/>
              <w:rPr>
                <w:rFonts w:ascii="Times New Roman" w:hAnsi="Times New Roman"/>
                <w:color w:val="000000"/>
                <w:szCs w:val="21"/>
              </w:rPr>
            </w:pPr>
          </w:p>
        </w:tc>
      </w:tr>
      <w:tr>
        <w:tblPrEx>
          <w:tblCellMar>
            <w:top w:w="0" w:type="dxa"/>
            <w:left w:w="108" w:type="dxa"/>
            <w:bottom w:w="0" w:type="dxa"/>
            <w:right w:w="108" w:type="dxa"/>
          </w:tblCellMar>
        </w:tblPrEx>
        <w:trPr>
          <w:trHeight w:val="383"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color w:val="000000"/>
                <w:kern w:val="0"/>
                <w:szCs w:val="21"/>
              </w:rPr>
            </w:pPr>
            <w:r>
              <w:rPr>
                <w:rFonts w:hint="eastAsia" w:ascii="Times New Roman" w:hAnsi="Times New Roman"/>
                <w:color w:val="000000"/>
                <w:kern w:val="0"/>
                <w:szCs w:val="21"/>
              </w:rPr>
              <w:t>10</w:t>
            </w:r>
          </w:p>
        </w:tc>
        <w:tc>
          <w:tcPr>
            <w:tcW w:w="1660" w:type="pct"/>
            <w:tcBorders>
              <w:top w:val="single" w:color="auto" w:sz="4" w:space="0"/>
              <w:left w:val="nil"/>
              <w:bottom w:val="single" w:color="auto" w:sz="4" w:space="0"/>
              <w:right w:val="single" w:color="auto" w:sz="4" w:space="0"/>
            </w:tcBorders>
            <w:vAlign w:val="center"/>
          </w:tcPr>
          <w:p>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lang w:bidi="ar"/>
              </w:rPr>
              <w:t>8R22.5</w:t>
            </w:r>
          </w:p>
        </w:tc>
        <w:tc>
          <w:tcPr>
            <w:tcW w:w="1299" w:type="pct"/>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rPr>
            </w:pPr>
            <w:r>
              <w:rPr>
                <w:rFonts w:ascii="Times New Roman" w:hAnsi="Times New Roman"/>
              </w:rPr>
              <w:t>7</w:t>
            </w:r>
          </w:p>
        </w:tc>
        <w:tc>
          <w:tcPr>
            <w:tcW w:w="1559" w:type="pct"/>
            <w:vMerge w:val="continue"/>
            <w:tcBorders>
              <w:left w:val="single" w:color="auto" w:sz="4" w:space="0"/>
              <w:right w:val="single" w:color="auto" w:sz="4" w:space="0"/>
            </w:tcBorders>
            <w:vAlign w:val="center"/>
          </w:tcPr>
          <w:p>
            <w:pPr>
              <w:widowControl/>
              <w:spacing w:line="400" w:lineRule="exact"/>
              <w:jc w:val="center"/>
              <w:textAlignment w:val="center"/>
              <w:rPr>
                <w:rFonts w:ascii="Times New Roman" w:hAnsi="Times New Roman"/>
                <w:color w:val="000000"/>
                <w:szCs w:val="21"/>
              </w:rPr>
            </w:pPr>
          </w:p>
        </w:tc>
      </w:tr>
      <w:tr>
        <w:tblPrEx>
          <w:tblCellMar>
            <w:top w:w="0" w:type="dxa"/>
            <w:left w:w="108" w:type="dxa"/>
            <w:bottom w:w="0" w:type="dxa"/>
            <w:right w:w="108" w:type="dxa"/>
          </w:tblCellMar>
        </w:tblPrEx>
        <w:trPr>
          <w:trHeight w:val="383"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color w:val="000000"/>
                <w:kern w:val="0"/>
                <w:szCs w:val="21"/>
              </w:rPr>
            </w:pPr>
            <w:r>
              <w:rPr>
                <w:rFonts w:hint="eastAsia" w:ascii="Times New Roman" w:hAnsi="Times New Roman"/>
                <w:color w:val="000000"/>
                <w:kern w:val="0"/>
                <w:szCs w:val="21"/>
              </w:rPr>
              <w:t>11</w:t>
            </w:r>
          </w:p>
        </w:tc>
        <w:tc>
          <w:tcPr>
            <w:tcW w:w="1660" w:type="pct"/>
            <w:tcBorders>
              <w:top w:val="single" w:color="auto" w:sz="4" w:space="0"/>
              <w:left w:val="nil"/>
              <w:bottom w:val="single" w:color="auto" w:sz="4" w:space="0"/>
              <w:right w:val="single" w:color="auto" w:sz="4" w:space="0"/>
            </w:tcBorders>
            <w:vAlign w:val="center"/>
          </w:tcPr>
          <w:p>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lang w:bidi="ar"/>
              </w:rPr>
              <w:t>9R22.5</w:t>
            </w:r>
          </w:p>
        </w:tc>
        <w:tc>
          <w:tcPr>
            <w:tcW w:w="1299" w:type="pct"/>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rPr>
            </w:pPr>
            <w:r>
              <w:rPr>
                <w:rFonts w:ascii="Times New Roman" w:hAnsi="Times New Roman"/>
              </w:rPr>
              <w:t>43</w:t>
            </w:r>
          </w:p>
        </w:tc>
        <w:tc>
          <w:tcPr>
            <w:tcW w:w="1559" w:type="pct"/>
            <w:vMerge w:val="continue"/>
            <w:tcBorders>
              <w:left w:val="single" w:color="auto" w:sz="4" w:space="0"/>
              <w:bottom w:val="single" w:color="auto" w:sz="4" w:space="0"/>
              <w:right w:val="single" w:color="auto" w:sz="4" w:space="0"/>
            </w:tcBorders>
            <w:vAlign w:val="center"/>
          </w:tcPr>
          <w:p>
            <w:pPr>
              <w:widowControl/>
              <w:spacing w:line="400" w:lineRule="exact"/>
              <w:jc w:val="center"/>
              <w:textAlignment w:val="center"/>
              <w:rPr>
                <w:rFonts w:ascii="Times New Roman" w:hAnsi="Times New Roman"/>
                <w:color w:val="000000"/>
                <w:szCs w:val="21"/>
              </w:rPr>
            </w:pPr>
          </w:p>
        </w:tc>
      </w:tr>
    </w:tbl>
    <w:p>
      <w:pPr>
        <w:spacing w:line="400" w:lineRule="exact"/>
        <w:ind w:firstLine="420" w:firstLineChars="200"/>
        <w:rPr>
          <w:rFonts w:ascii="Times New Roman" w:hAnsi="Times New Roman" w:cs="宋体"/>
          <w:bCs/>
          <w:color w:val="000000"/>
          <w:szCs w:val="21"/>
        </w:rPr>
      </w:pPr>
      <w:r>
        <w:rPr>
          <w:rFonts w:hint="eastAsia" w:ascii="Times New Roman" w:hAnsi="Times New Roman" w:cs="宋体"/>
          <w:bCs/>
          <w:color w:val="000000"/>
          <w:szCs w:val="21"/>
        </w:rPr>
        <w:t>注：（1）上述数量为两年的暂估采购数量，以实际采购数量为准。</w:t>
      </w:r>
    </w:p>
    <w:p>
      <w:pPr>
        <w:spacing w:line="400" w:lineRule="exact"/>
        <w:ind w:firstLine="420" w:firstLineChars="200"/>
        <w:rPr>
          <w:rFonts w:ascii="Times New Roman" w:hAnsi="Times New Roman" w:cs="宋体"/>
          <w:bCs/>
          <w:color w:val="000000"/>
          <w:szCs w:val="21"/>
        </w:rPr>
      </w:pPr>
      <w:r>
        <w:rPr>
          <w:rFonts w:hint="eastAsia" w:ascii="Times New Roman" w:hAnsi="Times New Roman" w:cs="宋体"/>
          <w:bCs/>
          <w:color w:val="000000"/>
          <w:szCs w:val="21"/>
        </w:rPr>
        <w:t>（2）非真空胎规格轮胎包括内胎及衬带。</w:t>
      </w:r>
    </w:p>
    <w:p>
      <w:pPr>
        <w:spacing w:line="400" w:lineRule="exact"/>
        <w:ind w:firstLine="420" w:firstLineChars="200"/>
        <w:rPr>
          <w:rFonts w:ascii="Times New Roman" w:hAnsi="Times New Roman" w:cs="宋体"/>
          <w:bCs/>
          <w:color w:val="000000"/>
          <w:szCs w:val="21"/>
        </w:rPr>
      </w:pPr>
      <w:r>
        <w:rPr>
          <w:rFonts w:hint="eastAsia" w:ascii="Times New Roman" w:hAnsi="Times New Roman" w:cs="宋体"/>
          <w:bCs/>
          <w:color w:val="000000"/>
          <w:szCs w:val="21"/>
        </w:rPr>
        <w:t>（3）投标人可以对所有标段进行投标，但不能同时中三个标段。若同一投标人在三个标段的综合评分均为第一名，取其投标总报价高的两个标段作为对应标段的第一推荐中标候选人，剩余一个标段不再推荐为中标候选人。</w:t>
      </w:r>
    </w:p>
    <w:p>
      <w:pPr>
        <w:spacing w:line="400" w:lineRule="exact"/>
        <w:ind w:firstLine="420" w:firstLineChars="200"/>
        <w:rPr>
          <w:rFonts w:ascii="Times New Roman" w:hAnsi="Times New Roman" w:cs="宋体"/>
          <w:bCs/>
          <w:color w:val="000000"/>
          <w:szCs w:val="21"/>
        </w:rPr>
      </w:pPr>
      <w:r>
        <w:rPr>
          <w:rFonts w:hint="eastAsia" w:ascii="Times New Roman" w:hAnsi="Times New Roman" w:cs="宋体"/>
          <w:bCs/>
          <w:color w:val="000000"/>
          <w:szCs w:val="21"/>
        </w:rPr>
        <w:t>2.2、本次招标合同期限：合同期二年（具体以合同签订时间为准），合同期内，采购人根据实际需求，分批次以书面通知方式确认每批次采购规格、数量，中标人按招标文件规定的期限、地点交货。</w:t>
      </w:r>
    </w:p>
    <w:p>
      <w:pPr>
        <w:spacing w:line="400" w:lineRule="exact"/>
        <w:ind w:firstLine="422" w:firstLineChars="200"/>
        <w:rPr>
          <w:rFonts w:ascii="Times New Roman" w:hAnsi="Times New Roman" w:cs="宋体"/>
          <w:b/>
          <w:bCs/>
          <w:color w:val="000000"/>
          <w:szCs w:val="21"/>
        </w:rPr>
      </w:pPr>
      <w:r>
        <w:rPr>
          <w:rFonts w:hint="eastAsia" w:ascii="Times New Roman" w:hAnsi="Times New Roman" w:cs="宋体"/>
          <w:b/>
          <w:bCs/>
          <w:color w:val="000000"/>
          <w:szCs w:val="21"/>
        </w:rPr>
        <w:t>三、合格投标人的资格要求</w:t>
      </w:r>
    </w:p>
    <w:p>
      <w:pPr>
        <w:spacing w:line="400" w:lineRule="exact"/>
        <w:ind w:firstLine="420" w:firstLineChars="200"/>
        <w:rPr>
          <w:rFonts w:ascii="Times New Roman" w:hAnsi="Times New Roman" w:cs="宋体"/>
          <w:color w:val="000000"/>
        </w:rPr>
      </w:pPr>
      <w:r>
        <w:rPr>
          <w:rFonts w:hint="eastAsia" w:ascii="Times New Roman" w:hAnsi="Times New Roman" w:cs="宋体"/>
          <w:color w:val="000000"/>
        </w:rPr>
        <w:t>3.1、本次采购要求投标人具有独立法人资格。</w:t>
      </w:r>
    </w:p>
    <w:p>
      <w:pPr>
        <w:spacing w:line="400" w:lineRule="exact"/>
        <w:ind w:firstLine="420" w:firstLineChars="200"/>
        <w:rPr>
          <w:rFonts w:ascii="Times New Roman" w:hAnsi="Times New Roman" w:cs="宋体"/>
          <w:color w:val="000000"/>
        </w:rPr>
      </w:pPr>
      <w:r>
        <w:rPr>
          <w:rFonts w:hint="eastAsia" w:ascii="Times New Roman" w:hAnsi="Times New Roman" w:cs="宋体"/>
          <w:color w:val="000000"/>
        </w:rPr>
        <w:t>3.2、具备相应资质和能力的轮胎生产厂家或生产厂家授权本项目投标的唯一代理商。</w:t>
      </w:r>
    </w:p>
    <w:p>
      <w:pPr>
        <w:spacing w:line="400" w:lineRule="exact"/>
        <w:ind w:firstLine="420" w:firstLineChars="200"/>
        <w:rPr>
          <w:rFonts w:ascii="Times New Roman" w:hAnsi="Times New Roman"/>
          <w:color w:val="000000"/>
          <w:szCs w:val="21"/>
        </w:rPr>
      </w:pPr>
      <w:r>
        <w:rPr>
          <w:rFonts w:hint="eastAsia" w:ascii="Times New Roman" w:hAnsi="Times New Roman" w:cs="宋体"/>
          <w:color w:val="000000"/>
        </w:rPr>
        <w:t>3.3、</w:t>
      </w:r>
      <w:r>
        <w:rPr>
          <w:rFonts w:hint="eastAsia" w:ascii="Times New Roman" w:hAnsi="Times New Roman"/>
          <w:color w:val="000000"/>
          <w:szCs w:val="21"/>
        </w:rPr>
        <w:t>投标人未被“信用中国”网站（http://www.creditchina.gov.cn）列入“严重失信主体名单”，未被“信用中国（浙江）”网站（http://credit.zj.gov.cn）列入“严重失信名单”，且未被“中国政府采购网”网站（www.ccgp.gov.cn）列入“政府采购严重违法失信行为记录名单”。</w:t>
      </w:r>
    </w:p>
    <w:p>
      <w:pPr>
        <w:spacing w:line="400" w:lineRule="exact"/>
        <w:ind w:firstLine="420" w:firstLineChars="200"/>
        <w:rPr>
          <w:rFonts w:ascii="Times New Roman" w:hAnsi="Times New Roman"/>
          <w:color w:val="000000"/>
          <w:szCs w:val="21"/>
        </w:rPr>
      </w:pPr>
      <w:r>
        <w:rPr>
          <w:rFonts w:hint="eastAsia" w:ascii="Times New Roman" w:hAnsi="Times New Roman"/>
          <w:color w:val="000000"/>
          <w:szCs w:val="21"/>
        </w:rPr>
        <w:t>3.4、</w:t>
      </w:r>
      <w:r>
        <w:rPr>
          <w:rFonts w:hint="eastAsia" w:ascii="宋体" w:hAnsi="宋体"/>
          <w:color w:val="000000"/>
          <w:szCs w:val="21"/>
        </w:rPr>
        <w:t>具有良好信誉和较强的售后服务能力；诚信经营、客户至上，无重大违法违纪和可能影响参与本次招投标的重大法律诉讼事项</w:t>
      </w:r>
      <w:r>
        <w:rPr>
          <w:rFonts w:hint="eastAsia" w:ascii="Times New Roman" w:hAnsi="Times New Roman"/>
          <w:color w:val="000000"/>
          <w:szCs w:val="21"/>
        </w:rPr>
        <w:t>。</w:t>
      </w:r>
    </w:p>
    <w:p>
      <w:pPr>
        <w:spacing w:line="400" w:lineRule="exact"/>
        <w:ind w:firstLine="420" w:firstLineChars="200"/>
        <w:rPr>
          <w:rFonts w:ascii="Times New Roman" w:hAnsi="Times New Roman"/>
          <w:color w:val="000000"/>
          <w:szCs w:val="21"/>
        </w:rPr>
      </w:pPr>
      <w:r>
        <w:rPr>
          <w:rFonts w:hint="eastAsia" w:ascii="Times New Roman" w:hAnsi="Times New Roman"/>
          <w:color w:val="000000"/>
          <w:szCs w:val="21"/>
        </w:rPr>
        <w:t>3.5、与招标人存在利害关系可能影响招标公正性的法人、其他组织或者个人，不得参加投标。单位负责人为同一人或者存在控股、管理关系的不同单位，不得参加同一标段投标或者未划分标段的同一招标项目投标。</w:t>
      </w:r>
    </w:p>
    <w:p>
      <w:pPr>
        <w:spacing w:line="400" w:lineRule="exact"/>
        <w:ind w:firstLine="420" w:firstLineChars="200"/>
        <w:rPr>
          <w:rFonts w:ascii="Times New Roman" w:hAnsi="Times New Roman"/>
          <w:color w:val="000000"/>
          <w:szCs w:val="21"/>
        </w:rPr>
      </w:pPr>
      <w:r>
        <w:rPr>
          <w:rFonts w:hint="eastAsia" w:ascii="Times New Roman" w:hAnsi="Times New Roman"/>
          <w:color w:val="000000"/>
          <w:szCs w:val="21"/>
        </w:rPr>
        <w:t>3.6、本次采购不接受联合体投标。</w:t>
      </w:r>
    </w:p>
    <w:p>
      <w:pPr>
        <w:spacing w:line="400" w:lineRule="exact"/>
        <w:ind w:firstLine="422" w:firstLineChars="200"/>
        <w:rPr>
          <w:rFonts w:ascii="Times New Roman" w:hAnsi="Times New Roman" w:cs="宋体"/>
          <w:color w:val="000000"/>
          <w:szCs w:val="21"/>
        </w:rPr>
      </w:pPr>
      <w:r>
        <w:rPr>
          <w:rFonts w:hint="eastAsia" w:ascii="Times New Roman" w:hAnsi="Times New Roman" w:cs="宋体"/>
          <w:b/>
          <w:bCs/>
          <w:color w:val="000000"/>
          <w:szCs w:val="21"/>
        </w:rPr>
        <w:t>四、招标文件的获取：</w:t>
      </w:r>
    </w:p>
    <w:p>
      <w:pPr>
        <w:shd w:val="clear" w:color="auto" w:fill="FFFFFF"/>
        <w:snapToGrid w:val="0"/>
        <w:spacing w:line="400" w:lineRule="exact"/>
        <w:ind w:firstLine="411" w:firstLineChars="196"/>
        <w:rPr>
          <w:rFonts w:ascii="Times New Roman" w:hAnsi="Times New Roman"/>
          <w:bCs/>
          <w:color w:val="000000"/>
          <w:szCs w:val="21"/>
        </w:rPr>
      </w:pPr>
      <w:r>
        <w:rPr>
          <w:rFonts w:hint="eastAsia" w:ascii="Times New Roman" w:hAnsi="Times New Roman"/>
          <w:bCs/>
          <w:color w:val="000000"/>
          <w:szCs w:val="21"/>
        </w:rPr>
        <w:t>1、获取招标文件时间：2023年12月15日至2023年12月27日9时00分止；</w:t>
      </w:r>
    </w:p>
    <w:p>
      <w:pPr>
        <w:shd w:val="clear" w:color="auto" w:fill="FFFFFF"/>
        <w:snapToGrid w:val="0"/>
        <w:spacing w:line="400" w:lineRule="exact"/>
        <w:ind w:firstLine="411" w:firstLineChars="196"/>
        <w:rPr>
          <w:rFonts w:ascii="Times New Roman" w:hAnsi="Times New Roman"/>
          <w:bCs/>
          <w:color w:val="000000"/>
          <w:szCs w:val="21"/>
        </w:rPr>
      </w:pPr>
      <w:r>
        <w:rPr>
          <w:rFonts w:hint="eastAsia" w:ascii="Times New Roman" w:hAnsi="Times New Roman"/>
          <w:bCs/>
          <w:color w:val="000000"/>
          <w:szCs w:val="21"/>
        </w:rPr>
        <w:t>2、获取招标文件方式：本项目招标文件实行“嘉兴禾采联综合采购服务平台”在线获取，不提供招标文件纸质版，请登陆嘉兴禾采联综合采购服务平台（http://www.jxcqgs.cn/jxcqcg/）—“供应商登录”，免费注册完成后，下载获取后缀名为“.JXCQZF”的发包文件等。注册咨询、技术服务电话：0573-82813680。</w:t>
      </w:r>
    </w:p>
    <w:p>
      <w:pPr>
        <w:shd w:val="clear" w:color="auto" w:fill="FFFFFF"/>
        <w:snapToGrid w:val="0"/>
        <w:spacing w:line="400" w:lineRule="exact"/>
        <w:ind w:firstLine="411" w:firstLineChars="196"/>
        <w:rPr>
          <w:rFonts w:ascii="Times New Roman" w:hAnsi="Times New Roman"/>
          <w:bCs/>
          <w:color w:val="000000"/>
          <w:szCs w:val="21"/>
        </w:rPr>
      </w:pPr>
      <w:r>
        <w:rPr>
          <w:rFonts w:hint="eastAsia" w:ascii="Times New Roman" w:hAnsi="Times New Roman"/>
          <w:bCs/>
          <w:color w:val="000000"/>
          <w:szCs w:val="21"/>
        </w:rPr>
        <w:t>注：请供应商按上述要求获取招标文件，如未在嘉兴禾采联综合采购服务平台系统内完成相关流程，引起的投标无效责任自担。</w:t>
      </w:r>
    </w:p>
    <w:p>
      <w:pPr>
        <w:shd w:val="clear" w:color="auto" w:fill="FFFFFF"/>
        <w:snapToGrid w:val="0"/>
        <w:spacing w:line="400" w:lineRule="exact"/>
        <w:ind w:firstLine="413" w:firstLineChars="196"/>
        <w:rPr>
          <w:rFonts w:ascii="Times New Roman" w:hAnsi="Times New Roman" w:cs="宋体"/>
          <w:color w:val="000000"/>
          <w:szCs w:val="21"/>
        </w:rPr>
      </w:pPr>
      <w:r>
        <w:rPr>
          <w:rFonts w:hint="eastAsia" w:ascii="Times New Roman" w:hAnsi="Times New Roman" w:cs="宋体"/>
          <w:b/>
          <w:bCs/>
          <w:color w:val="000000"/>
          <w:szCs w:val="21"/>
        </w:rPr>
        <w:t>五、投标保证金</w:t>
      </w:r>
    </w:p>
    <w:p>
      <w:pPr>
        <w:spacing w:line="400" w:lineRule="exact"/>
        <w:ind w:firstLine="420" w:firstLineChars="200"/>
        <w:rPr>
          <w:rFonts w:ascii="Times New Roman" w:hAnsi="Times New Roman" w:cs="宋体"/>
          <w:color w:val="000000"/>
          <w:szCs w:val="21"/>
        </w:rPr>
      </w:pPr>
      <w:r>
        <w:rPr>
          <w:rFonts w:hint="eastAsia" w:ascii="Times New Roman" w:hAnsi="Times New Roman" w:cs="宋体"/>
          <w:color w:val="000000"/>
          <w:szCs w:val="21"/>
        </w:rPr>
        <w:t>1、各标段投标保证金：人民币捌仟元整（参加多个标段的投标人，需对每个标段分别递交投标保证金）</w:t>
      </w:r>
    </w:p>
    <w:p>
      <w:pPr>
        <w:spacing w:line="400" w:lineRule="exact"/>
        <w:ind w:firstLine="420" w:firstLineChars="200"/>
        <w:rPr>
          <w:rFonts w:ascii="Times New Roman" w:hAnsi="Times New Roman" w:cs="宋体"/>
          <w:color w:val="000000"/>
          <w:szCs w:val="21"/>
        </w:rPr>
      </w:pPr>
      <w:r>
        <w:rPr>
          <w:rFonts w:hint="eastAsia" w:ascii="Times New Roman" w:hAnsi="Times New Roman" w:cs="宋体"/>
          <w:color w:val="000000"/>
          <w:szCs w:val="21"/>
        </w:rPr>
        <w:t>2、投标人通过平台生成专用子账号，通过电脑在线划转，手机划转，柜台划转（注：不能通过现金直接存入）等缴纳保证金，应在投标截止时间前递交。</w:t>
      </w:r>
    </w:p>
    <w:p>
      <w:pPr>
        <w:spacing w:line="400" w:lineRule="exact"/>
        <w:ind w:firstLine="420" w:firstLineChars="200"/>
        <w:rPr>
          <w:rFonts w:ascii="Times New Roman" w:hAnsi="Times New Roman" w:cs="宋体"/>
          <w:color w:val="000000"/>
          <w:szCs w:val="21"/>
        </w:rPr>
      </w:pPr>
      <w:r>
        <w:rPr>
          <w:rFonts w:hint="eastAsia" w:ascii="Times New Roman" w:hAnsi="Times New Roman" w:cs="宋体"/>
          <w:color w:val="000000"/>
          <w:szCs w:val="21"/>
        </w:rPr>
        <w:t>3、投标保证金以保函形式递交的，应包括项目名称、保证金金额、有效期限（不少于投标有效期时间）、承诺不可撤销、承诺见索即付等内容，保函扫描件制作在投标文件内，并在投标截止时间前以扫描件（电子版）方式发送至1602394422@qq.com（以邮件接收时间为准）。</w:t>
      </w:r>
    </w:p>
    <w:p>
      <w:pPr>
        <w:numPr>
          <w:ilvl w:val="0"/>
          <w:numId w:val="1"/>
        </w:numPr>
        <w:spacing w:line="400" w:lineRule="exact"/>
        <w:ind w:left="210" w:leftChars="100" w:firstLine="211" w:firstLineChars="100"/>
        <w:rPr>
          <w:rFonts w:ascii="Times New Roman" w:hAnsi="Times New Roman" w:cs="宋体"/>
          <w:b/>
          <w:bCs/>
          <w:color w:val="000000"/>
          <w:szCs w:val="21"/>
        </w:rPr>
      </w:pPr>
      <w:r>
        <w:rPr>
          <w:rFonts w:hint="eastAsia" w:ascii="Times New Roman" w:hAnsi="Times New Roman" w:cs="宋体"/>
          <w:b/>
          <w:bCs/>
          <w:color w:val="000000"/>
          <w:szCs w:val="21"/>
        </w:rPr>
        <w:t>投标截止时间和地点、开标时间和地点：</w:t>
      </w:r>
    </w:p>
    <w:p>
      <w:pPr>
        <w:spacing w:line="400" w:lineRule="exact"/>
        <w:ind w:firstLine="420" w:firstLineChars="200"/>
        <w:rPr>
          <w:rFonts w:ascii="Times New Roman" w:hAnsi="Times New Roman" w:cs="宋体"/>
          <w:color w:val="000000"/>
          <w:szCs w:val="21"/>
        </w:rPr>
      </w:pPr>
      <w:r>
        <w:rPr>
          <w:rFonts w:hint="eastAsia" w:ascii="Times New Roman" w:hAnsi="Times New Roman" w:cs="宋体"/>
          <w:color w:val="000000"/>
          <w:szCs w:val="21"/>
        </w:rPr>
        <w:t>1、投标文件递交截止时间：2023年12月27日9时00分（北京时间）</w:t>
      </w:r>
    </w:p>
    <w:p>
      <w:pPr>
        <w:spacing w:line="400" w:lineRule="exact"/>
        <w:ind w:firstLine="420" w:firstLineChars="200"/>
        <w:rPr>
          <w:rFonts w:ascii="Times New Roman" w:hAnsi="Times New Roman" w:cs="宋体"/>
          <w:color w:val="000000"/>
          <w:szCs w:val="21"/>
        </w:rPr>
      </w:pPr>
      <w:r>
        <w:rPr>
          <w:rFonts w:hint="eastAsia" w:ascii="Times New Roman" w:hAnsi="Times New Roman" w:cs="宋体"/>
          <w:color w:val="000000"/>
          <w:szCs w:val="21"/>
        </w:rPr>
        <w:t>2、开标时间：同投标文件递交截止时间。</w:t>
      </w:r>
    </w:p>
    <w:p>
      <w:pPr>
        <w:spacing w:line="400" w:lineRule="exact"/>
        <w:ind w:firstLine="420" w:firstLineChars="200"/>
        <w:rPr>
          <w:rFonts w:ascii="Times New Roman" w:hAnsi="Times New Roman" w:cs="宋体"/>
          <w:color w:val="000000"/>
          <w:szCs w:val="21"/>
        </w:rPr>
      </w:pPr>
      <w:r>
        <w:rPr>
          <w:rFonts w:hint="eastAsia" w:ascii="Times New Roman" w:hAnsi="Times New Roman" w:cs="宋体"/>
          <w:color w:val="000000"/>
          <w:szCs w:val="21"/>
        </w:rPr>
        <w:t>3、投标文件递交地址（网址）：请登陆嘉兴禾采联综合采购服务平台（http://www.jxcqgs.cn/jxcqcg/）—“供应商登录”，在投标截止时间前上传投标文件，提示上传成功即完成投标。本项目通过嘉兴禾采联综合采购服务平台投标制作软件编制并加密投标文件，投标人未按规定加密的投标文件，嘉兴禾采联综合采购服务平台将予以拒收。</w:t>
      </w:r>
    </w:p>
    <w:p>
      <w:pPr>
        <w:spacing w:line="400" w:lineRule="exact"/>
        <w:ind w:firstLine="420" w:firstLineChars="200"/>
        <w:rPr>
          <w:rFonts w:ascii="Times New Roman" w:hAnsi="Times New Roman" w:cs="宋体"/>
          <w:color w:val="000000"/>
          <w:szCs w:val="21"/>
        </w:rPr>
      </w:pPr>
      <w:r>
        <w:rPr>
          <w:rFonts w:hint="eastAsia" w:ascii="Times New Roman" w:hAnsi="Times New Roman" w:cs="宋体"/>
          <w:color w:val="000000"/>
          <w:szCs w:val="21"/>
        </w:rPr>
        <w:t>4、开标地址：本次招标采用远程不见面开标，请投标人在开标前提前登陆嘉兴禾采联综合采购服务平台（http://www.jxcqgs.cn/jxcqcg/）—“不见面开标”，登陆成功后，参与线上开标流程，完成在线解密。本项目解密时长为30分钟，如投标人未在规定时间内完成解密的，责任由投标人自负。</w:t>
      </w:r>
    </w:p>
    <w:p>
      <w:pPr>
        <w:spacing w:line="400" w:lineRule="exact"/>
        <w:ind w:firstLine="422" w:firstLineChars="200"/>
        <w:rPr>
          <w:rFonts w:ascii="Times New Roman" w:hAnsi="Times New Roman" w:cs="宋体"/>
          <w:b/>
          <w:color w:val="000000"/>
          <w:szCs w:val="21"/>
        </w:rPr>
      </w:pPr>
      <w:r>
        <w:rPr>
          <w:rFonts w:hint="eastAsia" w:ascii="Times New Roman" w:hAnsi="Times New Roman" w:cs="宋体"/>
          <w:b/>
          <w:color w:val="000000"/>
          <w:szCs w:val="21"/>
        </w:rPr>
        <w:t>注：相关制作软件及操作手册请在嘉兴禾采联综合采购服务平台首页办事指南及下载中心自行下载。</w:t>
      </w:r>
    </w:p>
    <w:p>
      <w:pPr>
        <w:numPr>
          <w:ilvl w:val="0"/>
          <w:numId w:val="1"/>
        </w:numPr>
        <w:spacing w:line="400" w:lineRule="exact"/>
        <w:ind w:left="210" w:leftChars="100" w:firstLine="211" w:firstLineChars="100"/>
        <w:rPr>
          <w:rFonts w:ascii="Times New Roman" w:hAnsi="Times New Roman" w:cs="宋体"/>
          <w:b/>
          <w:bCs/>
          <w:color w:val="000000"/>
          <w:szCs w:val="21"/>
        </w:rPr>
      </w:pPr>
      <w:r>
        <w:rPr>
          <w:rFonts w:hint="eastAsia" w:ascii="Times New Roman" w:hAnsi="Times New Roman" w:cs="宋体"/>
          <w:b/>
          <w:bCs/>
          <w:color w:val="000000"/>
          <w:szCs w:val="21"/>
        </w:rPr>
        <w:t>投标注意事项：</w:t>
      </w:r>
    </w:p>
    <w:p>
      <w:pPr>
        <w:spacing w:line="400" w:lineRule="exact"/>
        <w:ind w:firstLine="420" w:firstLineChars="200"/>
        <w:rPr>
          <w:rFonts w:ascii="Times New Roman" w:hAnsi="Times New Roman" w:cs="宋体"/>
          <w:color w:val="000000"/>
          <w:szCs w:val="21"/>
        </w:rPr>
      </w:pPr>
      <w:r>
        <w:rPr>
          <w:rFonts w:hint="eastAsia" w:ascii="Times New Roman" w:hAnsi="Times New Roman" w:cs="宋体"/>
          <w:color w:val="000000"/>
          <w:szCs w:val="21"/>
        </w:rPr>
        <w:t>远程不见面开标：是指将传统的开标场所搬到网上，招标人、投标人只需登录网上不见面开标大厅（http://www.jxcqgs.cn/BidOpening/bidhall/default/login），无需到达开标现场参与即可进行投标文件在线解密、投标人在线提问、招标人在线回复等操作。</w:t>
      </w:r>
    </w:p>
    <w:p>
      <w:pPr>
        <w:spacing w:line="400" w:lineRule="exact"/>
        <w:ind w:firstLine="420" w:firstLineChars="200"/>
        <w:rPr>
          <w:rFonts w:ascii="Times New Roman" w:hAnsi="Times New Roman" w:cs="宋体"/>
          <w:color w:val="000000"/>
          <w:szCs w:val="21"/>
        </w:rPr>
      </w:pPr>
      <w:r>
        <w:rPr>
          <w:rFonts w:hint="eastAsia" w:ascii="Times New Roman" w:hAnsi="Times New Roman" w:cs="宋体"/>
          <w:color w:val="000000"/>
          <w:szCs w:val="21"/>
        </w:rPr>
        <w:t>CA锁和嘉兴市公共资源交易系统通用。</w:t>
      </w:r>
    </w:p>
    <w:p>
      <w:pPr>
        <w:spacing w:line="400" w:lineRule="exact"/>
        <w:ind w:firstLine="422" w:firstLineChars="200"/>
        <w:rPr>
          <w:rFonts w:ascii="Times New Roman" w:hAnsi="Times New Roman" w:cs="宋体"/>
          <w:b/>
          <w:bCs/>
          <w:color w:val="000000"/>
          <w:szCs w:val="21"/>
        </w:rPr>
      </w:pPr>
      <w:r>
        <w:rPr>
          <w:rFonts w:hint="eastAsia" w:ascii="Times New Roman" w:hAnsi="Times New Roman" w:cs="宋体"/>
          <w:b/>
          <w:bCs/>
          <w:color w:val="000000"/>
          <w:szCs w:val="21"/>
        </w:rPr>
        <w:t>八、招标公告发布于：</w:t>
      </w:r>
    </w:p>
    <w:p>
      <w:pPr>
        <w:spacing w:line="400" w:lineRule="exact"/>
        <w:ind w:firstLine="420" w:firstLineChars="200"/>
        <w:rPr>
          <w:rFonts w:ascii="Times New Roman" w:hAnsi="Times New Roman" w:cs="宋体"/>
          <w:color w:val="000000"/>
          <w:szCs w:val="21"/>
        </w:rPr>
      </w:pPr>
      <w:r>
        <w:rPr>
          <w:rFonts w:hint="eastAsia" w:ascii="Times New Roman" w:hAnsi="Times New Roman" w:cs="宋体"/>
          <w:color w:val="000000"/>
          <w:szCs w:val="21"/>
        </w:rPr>
        <w:t>本次公开招标公告在嘉兴禾采联综合采购服务平台（http://www.jxcqgs.cn/jxcqcg/）、嘉兴市公共资源交易中心网（http://jxszwsjb.jiaxing.gov.cn/）和嘉兴市交通投资集团有限责任公司网站（http://www.jxjtjt.cn/）上同时发布。</w:t>
      </w:r>
    </w:p>
    <w:p>
      <w:pPr>
        <w:spacing w:line="400" w:lineRule="exact"/>
        <w:ind w:firstLine="422" w:firstLineChars="200"/>
        <w:rPr>
          <w:rFonts w:ascii="Times New Roman" w:hAnsi="Times New Roman" w:cs="宋体"/>
          <w:color w:val="000000"/>
          <w:szCs w:val="21"/>
        </w:rPr>
      </w:pPr>
      <w:r>
        <w:rPr>
          <w:rFonts w:hint="eastAsia" w:ascii="Times New Roman" w:hAnsi="Times New Roman" w:cs="宋体"/>
          <w:b/>
          <w:bCs/>
          <w:color w:val="000000"/>
          <w:szCs w:val="21"/>
        </w:rPr>
        <w:t>九、业务咨询：</w:t>
      </w:r>
    </w:p>
    <w:p>
      <w:pPr>
        <w:spacing w:line="400" w:lineRule="exact"/>
        <w:ind w:firstLine="420" w:firstLineChars="200"/>
        <w:rPr>
          <w:rFonts w:ascii="Times New Roman" w:hAnsi="Times New Roman" w:cs="宋体"/>
          <w:color w:val="000000"/>
          <w:szCs w:val="21"/>
        </w:rPr>
      </w:pPr>
      <w:r>
        <w:rPr>
          <w:rFonts w:hint="eastAsia" w:ascii="Times New Roman" w:hAnsi="Times New Roman" w:cs="宋体"/>
          <w:color w:val="000000"/>
          <w:szCs w:val="21"/>
        </w:rPr>
        <w:t>招 标 人：嘉兴市国鸿汽车运输有限公司</w:t>
      </w:r>
    </w:p>
    <w:p>
      <w:pPr>
        <w:spacing w:line="400" w:lineRule="exact"/>
        <w:ind w:firstLine="420" w:firstLineChars="200"/>
        <w:rPr>
          <w:rFonts w:ascii="Times New Roman" w:hAnsi="Times New Roman" w:cs="宋体"/>
          <w:color w:val="000000"/>
          <w:szCs w:val="21"/>
        </w:rPr>
      </w:pPr>
      <w:r>
        <w:rPr>
          <w:rFonts w:hint="eastAsia" w:ascii="Times New Roman" w:hAnsi="Times New Roman" w:cs="宋体"/>
          <w:color w:val="000000"/>
          <w:szCs w:val="21"/>
        </w:rPr>
        <w:t>地    址：嘉兴市万国路2056号</w:t>
      </w:r>
    </w:p>
    <w:p>
      <w:pPr>
        <w:spacing w:line="400" w:lineRule="exact"/>
        <w:ind w:firstLine="420" w:firstLineChars="200"/>
        <w:rPr>
          <w:rFonts w:ascii="Times New Roman" w:hAnsi="Times New Roman" w:cs="宋体"/>
          <w:color w:val="000000"/>
          <w:szCs w:val="21"/>
        </w:rPr>
      </w:pPr>
      <w:r>
        <w:rPr>
          <w:rFonts w:hint="eastAsia" w:ascii="Times New Roman" w:hAnsi="Times New Roman" w:cs="宋体"/>
          <w:color w:val="000000"/>
          <w:szCs w:val="21"/>
        </w:rPr>
        <w:t>联 系 人：沈先生</w:t>
      </w:r>
    </w:p>
    <w:p>
      <w:pPr>
        <w:spacing w:line="400" w:lineRule="exact"/>
        <w:ind w:firstLine="420" w:firstLineChars="200"/>
        <w:rPr>
          <w:rFonts w:ascii="Times New Roman" w:hAnsi="Times New Roman" w:cs="宋体"/>
          <w:color w:val="000000"/>
          <w:szCs w:val="21"/>
        </w:rPr>
      </w:pPr>
      <w:r>
        <w:rPr>
          <w:rFonts w:hint="eastAsia" w:ascii="Times New Roman" w:hAnsi="Times New Roman" w:cs="宋体"/>
          <w:color w:val="000000"/>
          <w:szCs w:val="21"/>
        </w:rPr>
        <w:t>电    话：0573-82227305</w:t>
      </w:r>
    </w:p>
    <w:p>
      <w:pPr>
        <w:spacing w:line="400" w:lineRule="exact"/>
        <w:ind w:firstLine="420" w:firstLineChars="200"/>
        <w:rPr>
          <w:rFonts w:ascii="Times New Roman" w:hAnsi="Times New Roman" w:cs="宋体"/>
          <w:color w:val="000000"/>
          <w:szCs w:val="21"/>
        </w:rPr>
      </w:pPr>
    </w:p>
    <w:p>
      <w:pPr>
        <w:spacing w:line="400" w:lineRule="exact"/>
        <w:ind w:firstLine="420" w:firstLineChars="200"/>
        <w:rPr>
          <w:rFonts w:ascii="Times New Roman" w:hAnsi="Times New Roman" w:cs="宋体"/>
          <w:color w:val="000000"/>
          <w:szCs w:val="21"/>
        </w:rPr>
      </w:pPr>
      <w:r>
        <w:rPr>
          <w:rFonts w:hint="eastAsia" w:ascii="Times New Roman" w:hAnsi="Times New Roman" w:cs="宋体"/>
          <w:color w:val="000000"/>
          <w:szCs w:val="21"/>
        </w:rPr>
        <w:t>招标代理机构：浙江博宏工程管理咨询有限公司</w:t>
      </w:r>
    </w:p>
    <w:p>
      <w:pPr>
        <w:spacing w:line="400" w:lineRule="exact"/>
        <w:ind w:firstLine="420" w:firstLineChars="200"/>
        <w:rPr>
          <w:rFonts w:ascii="Times New Roman" w:hAnsi="Times New Roman" w:cs="宋体"/>
          <w:color w:val="000000"/>
          <w:szCs w:val="21"/>
        </w:rPr>
      </w:pPr>
      <w:r>
        <w:rPr>
          <w:rFonts w:hint="eastAsia" w:ascii="Times New Roman" w:hAnsi="Times New Roman" w:cs="宋体"/>
          <w:color w:val="000000"/>
          <w:szCs w:val="21"/>
        </w:rPr>
        <w:t>地    址：嘉兴市秀洲区东升西路1700号科技京城1幢6楼</w:t>
      </w:r>
    </w:p>
    <w:p>
      <w:pPr>
        <w:spacing w:line="400" w:lineRule="exact"/>
        <w:ind w:firstLine="420" w:firstLineChars="200"/>
        <w:rPr>
          <w:rFonts w:ascii="Times New Roman" w:hAnsi="Times New Roman" w:cs="宋体"/>
          <w:color w:val="000000"/>
          <w:szCs w:val="21"/>
        </w:rPr>
      </w:pPr>
      <w:r>
        <w:rPr>
          <w:rFonts w:hint="eastAsia" w:ascii="Times New Roman" w:hAnsi="Times New Roman" w:cs="宋体"/>
          <w:color w:val="000000"/>
          <w:szCs w:val="21"/>
        </w:rPr>
        <w:t>联 系 人：陈先生</w:t>
      </w:r>
    </w:p>
    <w:p>
      <w:pPr>
        <w:spacing w:line="400" w:lineRule="exact"/>
        <w:ind w:firstLine="420" w:firstLineChars="200"/>
        <w:rPr>
          <w:rFonts w:ascii="Times New Roman" w:hAnsi="Times New Roman"/>
          <w:color w:val="000000"/>
          <w:szCs w:val="21"/>
        </w:rPr>
      </w:pPr>
      <w:r>
        <w:rPr>
          <w:rFonts w:ascii="Times New Roman" w:hAnsi="Times New Roman"/>
          <w:color w:val="000000"/>
          <w:szCs w:val="21"/>
        </w:rPr>
        <w:t>电    话：15868126391</w:t>
      </w:r>
    </w:p>
    <w:p>
      <w:pPr>
        <w:spacing w:line="400" w:lineRule="exact"/>
        <w:ind w:firstLine="420" w:firstLineChars="200"/>
        <w:rPr>
          <w:rFonts w:ascii="Times New Roman" w:hAnsi="Times New Roman"/>
          <w:color w:val="000000"/>
          <w:szCs w:val="21"/>
        </w:rPr>
      </w:pPr>
      <w:r>
        <w:rPr>
          <w:rFonts w:ascii="Times New Roman" w:hAnsi="Times New Roman"/>
          <w:color w:val="000000"/>
          <w:szCs w:val="21"/>
        </w:rPr>
        <w:t>电子邮箱：</w:t>
      </w:r>
      <w:r>
        <w:fldChar w:fldCharType="begin"/>
      </w:r>
      <w:r>
        <w:instrText xml:space="preserve"> HYPERLINK "mailto:1602394422@qq.com" </w:instrText>
      </w:r>
      <w:r>
        <w:fldChar w:fldCharType="separate"/>
      </w:r>
      <w:r>
        <w:rPr>
          <w:rFonts w:ascii="Times New Roman" w:hAnsi="Times New Roman"/>
          <w:color w:val="000000"/>
        </w:rPr>
        <w:t>1602394422@qq.com</w:t>
      </w:r>
      <w:r>
        <w:rPr>
          <w:rFonts w:ascii="Times New Roman" w:hAnsi="Times New Roman"/>
          <w:color w:val="000000"/>
        </w:rPr>
        <w:fldChar w:fldCharType="end"/>
      </w:r>
    </w:p>
    <w:p>
      <w:pPr>
        <w:spacing w:line="400" w:lineRule="exact"/>
        <w:ind w:firstLine="420" w:firstLineChars="200"/>
        <w:rPr>
          <w:rFonts w:ascii="Times New Roman" w:hAnsi="Times New Roman"/>
          <w:color w:val="000000"/>
          <w:szCs w:val="21"/>
        </w:rPr>
      </w:pPr>
    </w:p>
    <w:p>
      <w:pPr>
        <w:spacing w:line="400" w:lineRule="exact"/>
        <w:ind w:firstLine="420" w:firstLineChars="200"/>
        <w:rPr>
          <w:rFonts w:ascii="Times New Roman" w:hAnsi="Times New Roman"/>
          <w:color w:val="000000"/>
          <w:szCs w:val="21"/>
        </w:rPr>
      </w:pPr>
      <w:r>
        <w:rPr>
          <w:rFonts w:hint="eastAsia" w:ascii="Times New Roman" w:hAnsi="Times New Roman"/>
          <w:color w:val="000000"/>
          <w:szCs w:val="21"/>
        </w:rPr>
        <w:t>监督部门1：嘉兴市交通投资集团有限公司审计风控部</w:t>
      </w:r>
    </w:p>
    <w:p>
      <w:pPr>
        <w:spacing w:line="400" w:lineRule="exact"/>
        <w:ind w:firstLine="420" w:firstLineChars="200"/>
        <w:rPr>
          <w:rFonts w:ascii="Times New Roman" w:hAnsi="Times New Roman"/>
          <w:color w:val="000000"/>
          <w:szCs w:val="21"/>
        </w:rPr>
      </w:pPr>
      <w:r>
        <w:rPr>
          <w:rFonts w:hint="eastAsia" w:ascii="Times New Roman" w:hAnsi="Times New Roman"/>
          <w:color w:val="000000"/>
          <w:szCs w:val="21"/>
        </w:rPr>
        <w:t>联    址：嘉兴市南湖大道902号</w:t>
      </w:r>
    </w:p>
    <w:p>
      <w:pPr>
        <w:spacing w:line="400" w:lineRule="exact"/>
        <w:ind w:firstLine="420" w:firstLineChars="200"/>
        <w:rPr>
          <w:rFonts w:ascii="Times New Roman" w:hAnsi="Times New Roman"/>
          <w:color w:val="000000"/>
          <w:szCs w:val="21"/>
        </w:rPr>
      </w:pPr>
      <w:r>
        <w:rPr>
          <w:rFonts w:hint="eastAsia" w:ascii="Times New Roman" w:hAnsi="Times New Roman"/>
          <w:color w:val="000000"/>
          <w:szCs w:val="21"/>
        </w:rPr>
        <w:t>电    话：0573-82871355</w:t>
      </w:r>
    </w:p>
    <w:p>
      <w:pPr>
        <w:spacing w:line="400" w:lineRule="exact"/>
        <w:ind w:firstLine="420" w:firstLineChars="200"/>
        <w:rPr>
          <w:rFonts w:ascii="Times New Roman" w:hAnsi="Times New Roman"/>
          <w:color w:val="000000"/>
          <w:szCs w:val="21"/>
        </w:rPr>
      </w:pPr>
    </w:p>
    <w:p>
      <w:pPr>
        <w:spacing w:line="400" w:lineRule="exact"/>
        <w:ind w:firstLine="420" w:firstLineChars="200"/>
        <w:rPr>
          <w:rFonts w:ascii="Times New Roman" w:hAnsi="Times New Roman"/>
          <w:color w:val="000000"/>
          <w:szCs w:val="21"/>
        </w:rPr>
      </w:pPr>
      <w:r>
        <w:rPr>
          <w:rFonts w:hint="eastAsia" w:ascii="Times New Roman" w:hAnsi="Times New Roman"/>
          <w:color w:val="000000"/>
          <w:szCs w:val="21"/>
        </w:rPr>
        <w:t>监督部门2：嘉兴市国鸿汽车运输有限公司经营管理部</w:t>
      </w:r>
    </w:p>
    <w:p>
      <w:pPr>
        <w:spacing w:line="400" w:lineRule="exact"/>
        <w:ind w:firstLine="420" w:firstLineChars="200"/>
        <w:rPr>
          <w:rFonts w:ascii="Times New Roman" w:hAnsi="Times New Roman"/>
          <w:color w:val="000000"/>
          <w:szCs w:val="21"/>
        </w:rPr>
      </w:pPr>
      <w:r>
        <w:rPr>
          <w:rFonts w:hint="eastAsia" w:ascii="Times New Roman" w:hAnsi="Times New Roman"/>
          <w:color w:val="000000"/>
          <w:szCs w:val="21"/>
        </w:rPr>
        <w:t>联    址：嘉兴市万国路2056号</w:t>
      </w:r>
    </w:p>
    <w:p>
      <w:pPr>
        <w:spacing w:line="400" w:lineRule="exact"/>
        <w:ind w:firstLine="420" w:firstLineChars="200"/>
        <w:rPr>
          <w:rFonts w:ascii="Times New Roman" w:hAnsi="Times New Roman"/>
          <w:color w:val="000000"/>
          <w:szCs w:val="21"/>
        </w:rPr>
      </w:pPr>
      <w:r>
        <w:rPr>
          <w:rFonts w:hint="eastAsia" w:ascii="Times New Roman" w:hAnsi="Times New Roman"/>
          <w:color w:val="000000"/>
          <w:szCs w:val="21"/>
        </w:rPr>
        <w:t>电    话：0573-82084410</w:t>
      </w:r>
    </w:p>
    <w:p>
      <w:pPr>
        <w:spacing w:line="400" w:lineRule="exact"/>
        <w:ind w:firstLine="420" w:firstLineChars="200"/>
        <w:rPr>
          <w:rFonts w:ascii="Times New Roman" w:hAnsi="Times New Roman"/>
          <w:color w:val="000000"/>
          <w:szCs w:val="21"/>
        </w:rPr>
      </w:pPr>
    </w:p>
    <w:p>
      <w:pPr>
        <w:spacing w:line="400" w:lineRule="exact"/>
        <w:ind w:firstLine="420" w:firstLineChars="200"/>
        <w:rPr>
          <w:rFonts w:ascii="Times New Roman" w:hAnsi="Times New Roman"/>
          <w:color w:val="000000"/>
          <w:szCs w:val="21"/>
        </w:rPr>
      </w:pPr>
      <w:r>
        <w:rPr>
          <w:rFonts w:hint="eastAsia" w:ascii="Times New Roman" w:hAnsi="Times New Roman"/>
          <w:color w:val="000000"/>
          <w:szCs w:val="21"/>
        </w:rPr>
        <w:t>嘉兴禾采联综合采购服务平台联系电话：0573-82816090</w:t>
      </w:r>
    </w:p>
    <w:p>
      <w:pPr>
        <w:spacing w:line="400" w:lineRule="exact"/>
        <w:ind w:firstLine="420" w:firstLineChars="200"/>
        <w:rPr>
          <w:rFonts w:ascii="Times New Roman" w:hAnsi="Times New Roman"/>
          <w:color w:val="000000"/>
          <w:szCs w:val="21"/>
        </w:rPr>
      </w:pPr>
      <w:r>
        <w:rPr>
          <w:rFonts w:hint="eastAsia" w:ascii="Times New Roman" w:hAnsi="Times New Roman"/>
          <w:color w:val="000000"/>
          <w:szCs w:val="21"/>
        </w:rPr>
        <w:t>嘉兴禾采联综合采购服务平台技术支持电话：0573-82813680</w:t>
      </w:r>
    </w:p>
    <w:p>
      <w:pPr>
        <w:spacing w:line="400" w:lineRule="exact"/>
        <w:rPr>
          <w:rFonts w:ascii="Times New Roman" w:hAnsi="Times New Roman" w:cs="宋体"/>
          <w:color w:val="000000"/>
          <w:szCs w:val="21"/>
        </w:rPr>
      </w:pPr>
    </w:p>
    <w:p>
      <w:pPr>
        <w:pStyle w:val="7"/>
        <w:spacing w:after="0" w:line="400" w:lineRule="exact"/>
        <w:rPr>
          <w:color w:val="000000"/>
        </w:rPr>
      </w:pPr>
    </w:p>
    <w:p>
      <w:pPr>
        <w:spacing w:line="400" w:lineRule="exact"/>
        <w:ind w:firstLine="420" w:firstLineChars="200"/>
        <w:jc w:val="right"/>
        <w:rPr>
          <w:rFonts w:ascii="Times New Roman" w:hAnsi="Times New Roman" w:cs="宋体"/>
          <w:color w:val="000000"/>
          <w:szCs w:val="21"/>
        </w:rPr>
      </w:pPr>
    </w:p>
    <w:p>
      <w:pPr>
        <w:spacing w:line="400" w:lineRule="exact"/>
        <w:jc w:val="right"/>
      </w:pPr>
      <w:r>
        <w:rPr>
          <w:rFonts w:hint="eastAsia" w:ascii="Times New Roman" w:hAnsi="Times New Roman" w:cs="宋体"/>
          <w:color w:val="000000"/>
          <w:szCs w:val="21"/>
        </w:rPr>
        <w:t>2023年12月15日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736BC6"/>
    <w:multiLevelType w:val="singleLevel"/>
    <w:tmpl w:val="4F736BC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F2C"/>
    <w:rsid w:val="00161921"/>
    <w:rsid w:val="00171C1D"/>
    <w:rsid w:val="001C07FE"/>
    <w:rsid w:val="00272AEA"/>
    <w:rsid w:val="002D3F2C"/>
    <w:rsid w:val="005B3C20"/>
    <w:rsid w:val="3C8F6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lock Text"/>
    <w:basedOn w:val="1"/>
    <w:semiHidden/>
    <w:unhideWhenUsed/>
    <w:uiPriority w:val="99"/>
    <w:pPr>
      <w:spacing w:after="120"/>
      <w:ind w:left="1440" w:leftChars="700" w:right="1440" w:rightChars="700"/>
    </w:pPr>
  </w:style>
  <w:style w:type="paragraph" w:styleId="3">
    <w:name w:val="Body Text Indent"/>
    <w:basedOn w:val="1"/>
    <w:link w:val="13"/>
    <w:semiHidden/>
    <w:unhideWhenUsed/>
    <w:uiPriority w:val="99"/>
    <w:pPr>
      <w:spacing w:after="120"/>
      <w:ind w:left="420" w:leftChars="200"/>
    </w:p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2"/>
    <w:qFormat/>
    <w:uiPriority w:val="0"/>
    <w:pPr>
      <w:spacing w:before="240" w:after="60"/>
      <w:jc w:val="center"/>
      <w:outlineLvl w:val="0"/>
    </w:pPr>
    <w:rPr>
      <w:rFonts w:ascii="Cambria" w:hAnsi="Cambria"/>
      <w:b/>
      <w:bCs/>
      <w:sz w:val="32"/>
      <w:szCs w:val="32"/>
    </w:rPr>
  </w:style>
  <w:style w:type="paragraph" w:styleId="7">
    <w:name w:val="Body Text First Indent 2"/>
    <w:basedOn w:val="3"/>
    <w:link w:val="14"/>
    <w:qFormat/>
    <w:uiPriority w:val="99"/>
    <w:pPr>
      <w:spacing w:line="200" w:lineRule="exact"/>
      <w:ind w:firstLine="420"/>
    </w:pPr>
    <w:rPr>
      <w:rFonts w:ascii="宋体" w:hAnsi="Courier New" w:cs="宋体"/>
      <w:spacing w:val="-4"/>
      <w:sz w:val="18"/>
      <w:szCs w:val="21"/>
    </w:r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character" w:customStyle="1" w:styleId="12">
    <w:name w:val="标题 Char"/>
    <w:basedOn w:val="9"/>
    <w:link w:val="6"/>
    <w:uiPriority w:val="0"/>
    <w:rPr>
      <w:rFonts w:ascii="Cambria" w:hAnsi="Cambria" w:eastAsia="宋体" w:cs="Times New Roman"/>
      <w:b/>
      <w:bCs/>
      <w:sz w:val="32"/>
      <w:szCs w:val="32"/>
    </w:rPr>
  </w:style>
  <w:style w:type="character" w:customStyle="1" w:styleId="13">
    <w:name w:val="正文文本缩进 Char"/>
    <w:basedOn w:val="9"/>
    <w:link w:val="3"/>
    <w:semiHidden/>
    <w:uiPriority w:val="99"/>
    <w:rPr>
      <w:rFonts w:ascii="Calibri" w:hAnsi="Calibri" w:eastAsia="宋体" w:cs="Times New Roman"/>
      <w:szCs w:val="24"/>
    </w:rPr>
  </w:style>
  <w:style w:type="character" w:customStyle="1" w:styleId="14">
    <w:name w:val="正文首行缩进 2 Char"/>
    <w:basedOn w:val="13"/>
    <w:link w:val="7"/>
    <w:uiPriority w:val="99"/>
    <w:rPr>
      <w:rFonts w:ascii="宋体" w:hAnsi="Courier New" w:eastAsia="宋体" w:cs="宋体"/>
      <w:spacing w:val="-4"/>
      <w:sz w:val="18"/>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504</Words>
  <Characters>2876</Characters>
  <Lines>23</Lines>
  <Paragraphs>6</Paragraphs>
  <TotalTime>2</TotalTime>
  <ScaleCrop>false</ScaleCrop>
  <LinksUpToDate>false</LinksUpToDate>
  <CharactersWithSpaces>3374</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2023-12-13T11:03:00Z</dcterms:created>
  <dc:creator>user</dc:creator>
  <cp:lastModifiedBy>唐军(tangj)</cp:lastModifiedBy>
  <dcterms:modified xsi:type="dcterms:W3CDTF">2023-12-15T01:01:56Z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