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S207秀洲至仙居公路秀洲段工程设计咨询</w:t>
      </w:r>
    </w:p>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招标公告</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0" w:name="_Toc445154698"/>
      <w:bookmarkStart w:id="1" w:name="_Toc445154749"/>
      <w:bookmarkStart w:id="2" w:name="_Toc93952185"/>
      <w:bookmarkStart w:id="3" w:name="_Toc60689214"/>
      <w:r>
        <w:rPr>
          <w:rFonts w:hint="eastAsia" w:ascii="宋体" w:hAnsi="宋体" w:eastAsia="宋体" w:cs="宋体"/>
          <w:b/>
          <w:bCs/>
          <w:color w:val="auto"/>
          <w:kern w:val="0"/>
          <w:sz w:val="24"/>
          <w:szCs w:val="24"/>
          <w:highlight w:val="none"/>
        </w:rPr>
        <w:t>1.招标条件</w:t>
      </w:r>
      <w:bookmarkEnd w:id="0"/>
      <w:bookmarkEnd w:id="1"/>
      <w:bookmarkEnd w:id="2"/>
      <w:bookmarkEnd w:id="3"/>
    </w:p>
    <w:p>
      <w:pPr>
        <w:pStyle w:val="7"/>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2"/>
          <w:highlight w:val="none"/>
        </w:rPr>
      </w:pPr>
      <w:bookmarkStart w:id="4" w:name="_Toc60689215"/>
      <w:bookmarkStart w:id="5" w:name="_Toc445154750"/>
      <w:bookmarkStart w:id="6" w:name="_Toc445154699"/>
      <w:r>
        <w:rPr>
          <w:rFonts w:hint="eastAsia" w:ascii="宋体" w:hAnsi="宋体" w:eastAsia="宋体" w:cs="宋体"/>
          <w:color w:val="auto"/>
          <w:highlight w:val="none"/>
        </w:rPr>
        <w:t>本招标项目</w:t>
      </w:r>
      <w:r>
        <w:rPr>
          <w:rFonts w:hint="eastAsia" w:ascii="宋体" w:hAnsi="宋体" w:eastAsia="宋体" w:cs="宋体"/>
          <w:color w:val="auto"/>
          <w:highlight w:val="none"/>
          <w:u w:val="single"/>
        </w:rPr>
        <w:t>S207秀洲至仙居公路秀洲段工程</w:t>
      </w:r>
      <w:r>
        <w:rPr>
          <w:rFonts w:hint="eastAsia" w:ascii="宋体" w:hAnsi="宋体" w:eastAsia="宋体" w:cs="宋体"/>
          <w:color w:val="auto"/>
          <w:highlight w:val="none"/>
        </w:rPr>
        <w:t>已由</w:t>
      </w:r>
      <w:r>
        <w:rPr>
          <w:rFonts w:hint="eastAsia" w:ascii="宋体" w:hAnsi="宋体" w:eastAsia="宋体" w:cs="宋体"/>
          <w:color w:val="auto"/>
          <w:highlight w:val="none"/>
          <w:u w:val="single"/>
        </w:rPr>
        <w:t>嘉兴市发展和改革委员会</w:t>
      </w:r>
      <w:r>
        <w:rPr>
          <w:rFonts w:hint="eastAsia" w:ascii="宋体" w:hAnsi="宋体" w:eastAsia="宋体" w:cs="宋体"/>
          <w:color w:val="auto"/>
          <w:highlight w:val="none"/>
        </w:rPr>
        <w:t>批准建设，项目赋码：</w:t>
      </w:r>
      <w:r>
        <w:rPr>
          <w:rFonts w:hint="eastAsia" w:ascii="宋体" w:hAnsi="宋体" w:eastAsia="宋体" w:cs="宋体"/>
          <w:color w:val="auto"/>
          <w:highlight w:val="none"/>
          <w:u w:val="single"/>
        </w:rPr>
        <w:t>2205-330400-04-01-781699</w:t>
      </w:r>
      <w:r>
        <w:rPr>
          <w:rFonts w:hint="eastAsia" w:ascii="宋体" w:hAnsi="宋体" w:eastAsia="宋体" w:cs="宋体"/>
          <w:color w:val="auto"/>
          <w:highlight w:val="none"/>
        </w:rPr>
        <w:t>。项目业主为</w:t>
      </w:r>
      <w:r>
        <w:rPr>
          <w:rFonts w:hint="eastAsia" w:ascii="宋体" w:hAnsi="宋体" w:eastAsia="宋体" w:cs="宋体"/>
          <w:color w:val="auto"/>
          <w:highlight w:val="none"/>
          <w:u w:val="single"/>
        </w:rPr>
        <w:t>嘉兴市快速路建设发展有限公司</w:t>
      </w:r>
      <w:r>
        <w:rPr>
          <w:rFonts w:hint="eastAsia" w:ascii="宋体" w:hAnsi="宋体" w:eastAsia="宋体" w:cs="宋体"/>
          <w:color w:val="auto"/>
          <w:highlight w:val="none"/>
        </w:rPr>
        <w:t>，建设资金来自</w:t>
      </w:r>
      <w:r>
        <w:rPr>
          <w:rFonts w:hint="eastAsia" w:ascii="宋体" w:hAnsi="宋体" w:eastAsia="宋体" w:cs="宋体"/>
          <w:color w:val="auto"/>
          <w:highlight w:val="none"/>
          <w:u w:val="single"/>
        </w:rPr>
        <w:t>财政</w:t>
      </w:r>
      <w:r>
        <w:rPr>
          <w:rFonts w:hint="eastAsia" w:ascii="宋体" w:hAnsi="宋体" w:eastAsia="宋体" w:cs="宋体"/>
          <w:color w:val="auto"/>
          <w:highlight w:val="none"/>
        </w:rPr>
        <w:t>，招标人为</w:t>
      </w:r>
      <w:r>
        <w:rPr>
          <w:rFonts w:hint="eastAsia" w:ascii="宋体" w:hAnsi="宋体" w:eastAsia="宋体" w:cs="宋体"/>
          <w:color w:val="auto"/>
          <w:highlight w:val="none"/>
          <w:u w:val="single"/>
        </w:rPr>
        <w:t>嘉兴市快速路建设发展有限公司</w:t>
      </w:r>
      <w:r>
        <w:rPr>
          <w:rFonts w:hint="eastAsia" w:ascii="宋体" w:hAnsi="宋体" w:eastAsia="宋体" w:cs="宋体"/>
          <w:color w:val="auto"/>
          <w:highlight w:val="none"/>
        </w:rPr>
        <w:t>。项目已具备招标条件，现对该项目的设计咨询进行公开招标，并实行资格后审。资格审查条件（最低要求）详见嘉兴市公共资源交易中心网（http://jxszwsjb.jiaxing.gov.cn/）、嘉兴市交通运输局网（http://jtysj.jiaxing.gov.cn/）及嘉兴市交通投资集团有限责任公司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"http://www.jxjtjt.cn/"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http://www.jxjtjt.cn/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7" w:name="_Toc93952186"/>
      <w:r>
        <w:rPr>
          <w:rFonts w:hint="eastAsia" w:ascii="宋体" w:hAnsi="宋体" w:eastAsia="宋体" w:cs="宋体"/>
          <w:b/>
          <w:bCs/>
          <w:color w:val="auto"/>
          <w:kern w:val="0"/>
          <w:sz w:val="24"/>
          <w:szCs w:val="24"/>
          <w:highlight w:val="none"/>
        </w:rPr>
        <w:t>2.项目概况及招标范围</w:t>
      </w:r>
      <w:bookmarkEnd w:id="4"/>
      <w:bookmarkEnd w:id="5"/>
      <w:bookmarkEnd w:id="6"/>
      <w:bookmarkEnd w:id="7"/>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2.1建设规模</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起点位于嘉兴市经开区中环北路与东方路交叉处，起点主线与中环北路地面道路采用平面交叉，设置T型互通匝道与中环北路高架衔接。路线自南向北，沿东方路设高架桥往北，跨三环北路、北郊河（Ⅲ级航道）、正阳路，然后主线降坡，于兴港路以地面快速路形式下穿500KV高压线后继续设高架上跨奥星路、车家路、鳗鲤港（Ⅶ级航道）、申嘉湖高速、上睦港（准Ⅶ级航道）和规划212省道、湖嘉申航道（Ⅲ级航道），于王江泾镇南侧跨过规划南虹路后主线落地，利用并改造局部既有老路后穿过王江泾镇至近期实施终点建汾公路交叉口，实施路线全长12.8km，共设置互通5处，主线桥梁7840m/5座，其中连续高架约5.3公里，地面桥梁8座。</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本项目包含道路工程、桥梁工程、排水工程、管线综合、交安工程、绿化工程、照明工程等。</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技术标准：</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本项目为嘉兴快速化路网规划的一部分，按一级公路标准兼顾城市道路功能建设。主要技术指标依据《公路工程技术标准》JTGB01-2014、《城镇化地区公路工程技术标准》JTG 2112-2021等相关标准的要求。</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2.3招标规模：项目总投资估算约</w:t>
      </w:r>
      <w:r>
        <w:rPr>
          <w:rFonts w:hint="eastAsia" w:ascii="宋体" w:hAnsi="宋体" w:eastAsia="宋体" w:cs="宋体"/>
          <w:color w:val="auto"/>
          <w:sz w:val="24"/>
          <w:szCs w:val="24"/>
          <w:highlight w:val="none"/>
          <w:u w:val="single"/>
        </w:rPr>
        <w:t xml:space="preserve">520000 </w:t>
      </w:r>
      <w:r>
        <w:rPr>
          <w:rFonts w:hint="eastAsia" w:ascii="宋体" w:hAnsi="宋体" w:eastAsia="宋体" w:cs="宋体"/>
          <w:color w:val="auto"/>
          <w:sz w:val="24"/>
          <w:szCs w:val="24"/>
          <w:highlight w:val="none"/>
        </w:rPr>
        <w:t xml:space="preserve">万元，其中建安工程费约 </w:t>
      </w:r>
      <w:r>
        <w:rPr>
          <w:rFonts w:hint="eastAsia" w:ascii="宋体" w:hAnsi="宋体" w:eastAsia="宋体" w:cs="宋体"/>
          <w:color w:val="auto"/>
          <w:sz w:val="24"/>
          <w:szCs w:val="24"/>
          <w:highlight w:val="none"/>
          <w:u w:val="single"/>
        </w:rPr>
        <w:t xml:space="preserve">385000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本次招标的设计咨询费用约294万元。</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2.4 招标范围</w:t>
      </w:r>
      <w:r>
        <w:rPr>
          <w:rFonts w:hint="eastAsia" w:ascii="宋体" w:hAnsi="宋体" w:eastAsia="宋体" w:cs="宋体"/>
          <w:color w:val="auto"/>
          <w:kern w:val="0"/>
          <w:sz w:val="24"/>
          <w:szCs w:val="24"/>
          <w:highlight w:val="none"/>
        </w:rPr>
        <w:t>：包括本项目的初步设计咨询（含初步设计技术审查、概算审核等）、施工图设计咨询（含施工图技术审查、施工图预算审核等）及变更设计咨询（如需）。</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2.5 设计审核服务周期</w:t>
      </w:r>
      <w:r>
        <w:rPr>
          <w:rFonts w:hint="eastAsia" w:ascii="宋体" w:hAnsi="宋体" w:eastAsia="宋体" w:cs="宋体"/>
          <w:color w:val="auto"/>
          <w:kern w:val="0"/>
          <w:sz w:val="24"/>
          <w:szCs w:val="24"/>
          <w:highlight w:val="none"/>
        </w:rPr>
        <w:t>：与本项目的设计进度相匹配，初步设计完成后14日历天内提供初步设计咨询报告，各阶段施工图完成后14日历天内提供施工图设计咨询报告，设计变更完成后7日历天内提供设计变更咨询报告。</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8" w:name="_Toc60689216"/>
      <w:bookmarkStart w:id="9" w:name="_Toc445154700"/>
      <w:bookmarkStart w:id="10" w:name="_Toc93952187"/>
      <w:bookmarkStart w:id="11" w:name="_Toc445154751"/>
      <w:r>
        <w:rPr>
          <w:rFonts w:hint="eastAsia" w:ascii="宋体" w:hAnsi="宋体" w:eastAsia="宋体" w:cs="宋体"/>
          <w:b/>
          <w:bCs/>
          <w:color w:val="auto"/>
          <w:kern w:val="0"/>
          <w:sz w:val="24"/>
          <w:szCs w:val="24"/>
          <w:highlight w:val="none"/>
        </w:rPr>
        <w:t>3.投标人资格要求</w:t>
      </w:r>
      <w:bookmarkEnd w:id="8"/>
      <w:bookmarkEnd w:id="9"/>
      <w:bookmarkEnd w:id="10"/>
      <w:bookmarkEnd w:id="11"/>
    </w:p>
    <w:p>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次招标要求投标人具有独立法人资格、具有工程设计综合甲级资质或工程设计公路行业甲级资质或通过“全国投资项目在线审批监管平台”备案（备案专业包含“公路”专业，服务范围包含“项目咨询”），并在人员组成、结构等方面具有相应的能力。</w:t>
      </w:r>
    </w:p>
    <w:p>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本次招标</w:t>
      </w:r>
      <w:r>
        <w:rPr>
          <w:rFonts w:hint="eastAsia" w:ascii="宋体" w:hAnsi="宋体" w:eastAsia="宋体" w:cs="宋体"/>
          <w:color w:val="auto"/>
          <w:kern w:val="0"/>
          <w:sz w:val="24"/>
          <w:szCs w:val="24"/>
          <w:highlight w:val="none"/>
          <w:u w:val="single"/>
        </w:rPr>
        <w:t>不接受</w:t>
      </w:r>
      <w:r>
        <w:rPr>
          <w:rFonts w:hint="eastAsia" w:ascii="宋体" w:hAnsi="宋体" w:eastAsia="宋体" w:cs="宋体"/>
          <w:color w:val="auto"/>
          <w:kern w:val="0"/>
          <w:sz w:val="24"/>
          <w:szCs w:val="24"/>
          <w:highlight w:val="none"/>
        </w:rPr>
        <w:t>联合体投标。</w:t>
      </w:r>
    </w:p>
    <w:p>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不接受该项目勘察设计中标人（联合体中标的指联合体所有成员）的投标。</w:t>
      </w:r>
    </w:p>
    <w:p>
      <w:pPr>
        <w:keepNext w:val="0"/>
        <w:keepLines w:val="0"/>
        <w:pageBreakBefore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3.4投 标 人为设计资质应 列 入 交 通 运 输 部 “ 全 国 公 路 建 设 市 场 信 用 信 息 管 理 系 统（http://glxy.mot.gov.cn）”中的公路工程设计资质企业名录，且投标人名称和资质与该名录中的相应企业名称和资质完全一致（提供查询结果打印件或截图）。对于未进入上述名录或名称与上述名录不符的投标人，资格审查不予通过。 </w:t>
      </w:r>
    </w:p>
    <w:p>
      <w:pPr>
        <w:keepNext w:val="0"/>
        <w:keepLines w:val="0"/>
        <w:pageBreakBefore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bookmarkStart w:id="12" w:name="_Toc2193072"/>
      <w:r>
        <w:rPr>
          <w:rFonts w:hint="eastAsia" w:ascii="宋体" w:hAnsi="宋体" w:eastAsia="宋体" w:cs="宋体"/>
          <w:color w:val="auto"/>
          <w:sz w:val="24"/>
          <w:szCs w:val="24"/>
          <w:highlight w:val="none"/>
        </w:rPr>
        <w:t xml:space="preserve">3.5与招标人存在利害关系可能影响招标公正性的法人、其他组织或者个人，不得参加投标。单位负责人为同一人或者存在控股（含法定代表人控股）、管理关系的不同单位，不得同时参加同一标段的投标。 </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3.6投标人</w:t>
      </w:r>
      <w:r>
        <w:rPr>
          <w:rFonts w:hint="eastAsia" w:ascii="宋体" w:hAnsi="宋体" w:eastAsia="宋体" w:cs="宋体"/>
          <w:color w:val="auto"/>
          <w:kern w:val="0"/>
          <w:sz w:val="24"/>
          <w:szCs w:val="24"/>
          <w:highlight w:val="none"/>
        </w:rPr>
        <w:t>未被“信用中国”（</w:t>
      </w:r>
      <w:r>
        <w:rPr>
          <w:rFonts w:hint="eastAsia" w:ascii="宋体" w:hAnsi="宋体" w:eastAsia="宋体" w:cs="宋体"/>
          <w:color w:val="auto"/>
          <w:sz w:val="24"/>
          <w:szCs w:val="24"/>
          <w:highlight w:val="none"/>
        </w:rPr>
        <w:t>http://</w:t>
      </w:r>
      <w:r>
        <w:rPr>
          <w:rFonts w:hint="eastAsia" w:ascii="宋体" w:hAnsi="宋体" w:eastAsia="宋体" w:cs="宋体"/>
          <w:color w:val="auto"/>
          <w:kern w:val="0"/>
          <w:sz w:val="24"/>
          <w:szCs w:val="24"/>
          <w:highlight w:val="none"/>
        </w:rPr>
        <w:t>www.creditchina.gov.cn）</w:t>
      </w:r>
      <w:r>
        <w:rPr>
          <w:rFonts w:hint="eastAsia" w:ascii="宋体" w:hAnsi="宋体" w:eastAsia="宋体" w:cs="宋体"/>
          <w:color w:val="auto"/>
          <w:sz w:val="24"/>
          <w:szCs w:val="24"/>
          <w:highlight w:val="none"/>
        </w:rPr>
        <w:t>列入“失信惩戒对象”</w:t>
      </w:r>
      <w:r>
        <w:rPr>
          <w:rFonts w:hint="eastAsia" w:ascii="宋体" w:hAnsi="宋体" w:eastAsia="宋体" w:cs="宋体"/>
          <w:color w:val="auto"/>
          <w:kern w:val="0"/>
          <w:sz w:val="24"/>
          <w:szCs w:val="24"/>
          <w:highlight w:val="none"/>
        </w:rPr>
        <w:t>及“信用中国（浙江）”（http://credit.zj.gov.cn/）列入黑名单。</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13" w:name="_Toc93952188"/>
      <w:r>
        <w:rPr>
          <w:rFonts w:hint="eastAsia" w:ascii="宋体" w:hAnsi="宋体" w:eastAsia="宋体" w:cs="宋体"/>
          <w:b/>
          <w:bCs/>
          <w:color w:val="auto"/>
          <w:kern w:val="0"/>
          <w:sz w:val="24"/>
          <w:szCs w:val="24"/>
          <w:highlight w:val="none"/>
        </w:rPr>
        <w:t>4.招标文件的获取</w:t>
      </w:r>
      <w:bookmarkEnd w:id="12"/>
      <w:bookmarkEnd w:id="13"/>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rPr>
      </w:pPr>
      <w:bookmarkStart w:id="14" w:name="_Toc510103015"/>
      <w:bookmarkStart w:id="15" w:name="_Toc2193073"/>
      <w:bookmarkStart w:id="16" w:name="_Toc510103016"/>
      <w:bookmarkStart w:id="17" w:name="_Toc2193074"/>
      <w:bookmarkStart w:id="18" w:name="_Toc510275205"/>
      <w:r>
        <w:rPr>
          <w:rFonts w:hint="eastAsia" w:ascii="宋体" w:hAnsi="宋体" w:eastAsia="宋体" w:cs="宋体"/>
          <w:color w:val="auto"/>
          <w:kern w:val="0"/>
          <w:sz w:val="24"/>
          <w:szCs w:val="24"/>
          <w:highlight w:val="none"/>
        </w:rPr>
        <w:t>4.1本工程实行网上报名，凡有意参加投标者，请于</w:t>
      </w:r>
      <w:r>
        <w:rPr>
          <w:rFonts w:hint="eastAsia" w:ascii="宋体" w:hAnsi="宋体" w:eastAsia="宋体" w:cs="宋体"/>
          <w:b/>
          <w:color w:val="auto"/>
          <w:kern w:val="0"/>
          <w:sz w:val="24"/>
          <w:szCs w:val="24"/>
          <w:highlight w:val="none"/>
        </w:rPr>
        <w:t>2022年</w:t>
      </w:r>
      <w:r>
        <w:rPr>
          <w:rFonts w:hint="eastAsia" w:ascii="宋体" w:hAnsi="宋体" w:eastAsia="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rPr>
        <w:t>月</w:t>
      </w:r>
      <w:r>
        <w:rPr>
          <w:rFonts w:hint="eastAsia" w:ascii="宋体" w:hAnsi="宋体" w:eastAsia="宋体" w:cs="宋体"/>
          <w:b/>
          <w:color w:val="auto"/>
          <w:kern w:val="0"/>
          <w:sz w:val="24"/>
          <w:szCs w:val="24"/>
          <w:highlight w:val="none"/>
          <w:lang w:val="en-US" w:eastAsia="zh-CN"/>
        </w:rPr>
        <w:t>24</w:t>
      </w:r>
      <w:r>
        <w:rPr>
          <w:rFonts w:hint="eastAsia" w:ascii="宋体" w:hAnsi="宋体" w:eastAsia="宋体" w:cs="宋体"/>
          <w:b/>
          <w:color w:val="auto"/>
          <w:kern w:val="0"/>
          <w:sz w:val="24"/>
          <w:szCs w:val="24"/>
          <w:highlight w:val="none"/>
        </w:rPr>
        <w:t>日至2022年</w:t>
      </w:r>
      <w:r>
        <w:rPr>
          <w:rFonts w:hint="eastAsia" w:ascii="宋体" w:hAnsi="宋体" w:eastAsia="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rPr>
        <w:t>月</w:t>
      </w:r>
      <w:r>
        <w:rPr>
          <w:rFonts w:hint="eastAsia" w:ascii="宋体" w:hAnsi="宋体" w:eastAsia="宋体" w:cs="宋体"/>
          <w:b/>
          <w:color w:val="auto"/>
          <w:kern w:val="0"/>
          <w:sz w:val="24"/>
          <w:szCs w:val="24"/>
          <w:highlight w:val="none"/>
          <w:lang w:val="en-US" w:eastAsia="zh-CN"/>
        </w:rPr>
        <w:t>15</w:t>
      </w:r>
      <w:r>
        <w:rPr>
          <w:rFonts w:hint="eastAsia" w:ascii="宋体" w:hAnsi="宋体" w:eastAsia="宋体" w:cs="宋体"/>
          <w:b/>
          <w:color w:val="auto"/>
          <w:kern w:val="0"/>
          <w:sz w:val="24"/>
          <w:szCs w:val="24"/>
          <w:highlight w:val="none"/>
        </w:rPr>
        <w:t>日9时</w:t>
      </w:r>
      <w:r>
        <w:rPr>
          <w:rFonts w:hint="eastAsia" w:ascii="宋体" w:hAnsi="宋体" w:eastAsia="宋体" w:cs="宋体"/>
          <w:color w:val="auto"/>
          <w:kern w:val="0"/>
          <w:sz w:val="24"/>
          <w:szCs w:val="24"/>
          <w:highlight w:val="none"/>
        </w:rPr>
        <w:t>（北京时间，下同）登录嘉兴市公共资源交易中心网站</w:t>
      </w:r>
      <w:r>
        <w:rPr>
          <w:rFonts w:hint="eastAsia" w:ascii="宋体" w:hAnsi="宋体" w:eastAsia="宋体" w:cs="宋体"/>
          <w:color w:val="auto"/>
          <w:sz w:val="24"/>
          <w:szCs w:val="24"/>
          <w:highlight w:val="none"/>
        </w:rPr>
        <w:t>http://jxszwsjb.jiaxing.gov.cn/</w:t>
      </w:r>
      <w:r>
        <w:rPr>
          <w:rFonts w:hint="eastAsia" w:ascii="宋体" w:hAnsi="宋体" w:eastAsia="宋体" w:cs="宋体"/>
          <w:color w:val="auto"/>
          <w:kern w:val="0"/>
          <w:sz w:val="24"/>
          <w:szCs w:val="24"/>
          <w:highlight w:val="none"/>
        </w:rPr>
        <w:t>，下同）进行网上报名，取得投标资格，自行下载招标文件、图纸等相关资料。</w:t>
      </w:r>
    </w:p>
    <w:p>
      <w:pPr>
        <w:keepNext w:val="0"/>
        <w:keepLines w:val="0"/>
        <w:pageBreakBefore w:val="0"/>
        <w:kinsoku/>
        <w:wordWrap/>
        <w:overflowPunct/>
        <w:topLinePunct w:val="0"/>
        <w:bidi w:val="0"/>
        <w:snapToGrid/>
        <w:spacing w:line="440" w:lineRule="exact"/>
        <w:ind w:firstLine="360" w:firstLineChars="150"/>
        <w:textAlignment w:val="auto"/>
        <w:rPr>
          <w:rFonts w:hint="eastAsia" w:ascii="宋体" w:hAnsi="宋体" w:eastAsia="宋体" w:cs="宋体"/>
          <w:b/>
          <w:bCs/>
          <w:color w:val="auto"/>
          <w:kern w:val="0"/>
          <w:sz w:val="24"/>
          <w:szCs w:val="24"/>
          <w:highlight w:val="none"/>
          <w:u w:val="single"/>
        </w:rPr>
      </w:pPr>
      <w:r>
        <w:rPr>
          <w:rFonts w:hint="eastAsia" w:ascii="宋体" w:hAnsi="宋体" w:eastAsia="宋体" w:cs="宋体"/>
          <w:color w:val="auto"/>
          <w:kern w:val="0"/>
          <w:sz w:val="24"/>
          <w:szCs w:val="24"/>
          <w:highlight w:val="none"/>
        </w:rPr>
        <w:t xml:space="preserve"> 4.2 招标文件网上下载时间：</w:t>
      </w:r>
      <w:r>
        <w:rPr>
          <w:rFonts w:hint="eastAsia" w:ascii="宋体" w:hAnsi="宋体" w:eastAsia="宋体" w:cs="宋体"/>
          <w:b/>
          <w:bCs/>
          <w:color w:val="auto"/>
          <w:kern w:val="0"/>
          <w:sz w:val="24"/>
          <w:szCs w:val="24"/>
          <w:highlight w:val="none"/>
          <w:u w:val="single"/>
          <w:lang w:val="en-US" w:eastAsia="zh-CN"/>
        </w:rPr>
        <w:t>2022年8月24日至2022年9月15日9时止。</w:t>
      </w:r>
    </w:p>
    <w:p>
      <w:pPr>
        <w:keepNext w:val="0"/>
        <w:keepLines w:val="0"/>
        <w:pageBreakBefore w:val="0"/>
        <w:tabs>
          <w:tab w:val="left" w:pos="360"/>
        </w:tabs>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未取得“嘉兴市公共资源交易中心网”用户名和密码的潜在投标人，应先办理单位注册登记手续、取得用户名和密码。具体登记办法请登录“嘉兴市公共资源交易中心网→投标人注册”栏目进行。</w:t>
      </w:r>
    </w:p>
    <w:p>
      <w:pPr>
        <w:keepNext w:val="0"/>
        <w:keepLines w:val="0"/>
        <w:pageBreakBefore w:val="0"/>
        <w:tabs>
          <w:tab w:val="left" w:pos="360"/>
        </w:tabs>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 潜在投标人对招标文件有疑问的，应以投标人的账号登录嘉兴市公共资源交易中心网站（http://jxszwsjb.jiaxing.gov.cn/）并将所有疑义以电子文档形式上传。提交疑问截止日为2022年</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rPr>
        <w:t>日17:30前。招标人将于2022年</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日（不影响投标文件编制的于2022年</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8</w:t>
      </w:r>
      <w:r>
        <w:rPr>
          <w:rFonts w:hint="eastAsia" w:ascii="宋体" w:hAnsi="宋体" w:eastAsia="宋体" w:cs="宋体"/>
          <w:color w:val="auto"/>
          <w:kern w:val="0"/>
          <w:sz w:val="24"/>
          <w:szCs w:val="24"/>
          <w:highlight w:val="none"/>
        </w:rPr>
        <w:t>日）17:30前在网上发布补充（答疑、澄清）文件。潜在投标人应自行关注网站公告并自行下载，招标人不再一一通知。投标人因自身贻误行为导致投标失败的，责任自负。</w:t>
      </w:r>
    </w:p>
    <w:p>
      <w:pPr>
        <w:keepNext w:val="0"/>
        <w:keepLines w:val="0"/>
        <w:pageBreakBefore w:val="0"/>
        <w:tabs>
          <w:tab w:val="left" w:pos="360"/>
        </w:tabs>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 招标文件和补充文件的下载地址为：</w:t>
      </w:r>
      <w:r>
        <w:rPr>
          <w:rFonts w:hint="eastAsia" w:ascii="宋体" w:hAnsi="宋体" w:eastAsia="宋体" w:cs="宋体"/>
          <w:color w:val="auto"/>
          <w:kern w:val="0"/>
          <w:sz w:val="24"/>
          <w:szCs w:val="24"/>
          <w:highlight w:val="none"/>
          <w:u w:val="single"/>
        </w:rPr>
        <w:t xml:space="preserve"> http://jxszwsjb.jiaxing.gov.cn/ 。</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19" w:name="_Toc93951550"/>
      <w:bookmarkStart w:id="20" w:name="_Toc93952189"/>
      <w:r>
        <w:rPr>
          <w:rFonts w:hint="eastAsia" w:ascii="宋体" w:hAnsi="宋体" w:eastAsia="宋体" w:cs="宋体"/>
          <w:b/>
          <w:bCs/>
          <w:color w:val="auto"/>
          <w:kern w:val="0"/>
          <w:sz w:val="24"/>
          <w:szCs w:val="24"/>
          <w:highlight w:val="none"/>
        </w:rPr>
        <w:t>5.投标文件的递交及相关事宜</w:t>
      </w:r>
      <w:bookmarkEnd w:id="14"/>
      <w:bookmarkEnd w:id="15"/>
      <w:bookmarkEnd w:id="19"/>
      <w:bookmarkEnd w:id="20"/>
    </w:p>
    <w:p>
      <w:pPr>
        <w:keepNext w:val="0"/>
        <w:keepLines w:val="0"/>
        <w:pageBreakBefore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5.1招标人将不组织踏勘现场，由投标人自行踏勘现场。 </w:t>
      </w:r>
    </w:p>
    <w:p>
      <w:pPr>
        <w:keepNext w:val="0"/>
        <w:keepLines w:val="0"/>
        <w:pageBreakBefore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5.2投标预备会时间：招标人不组织投标预备会。</w:t>
      </w:r>
    </w:p>
    <w:p>
      <w:pPr>
        <w:pStyle w:val="6"/>
        <w:keepNext w:val="0"/>
        <w:keepLines w:val="0"/>
        <w:pageBreakBefore w:val="0"/>
        <w:tabs>
          <w:tab w:val="left" w:pos="574"/>
        </w:tabs>
        <w:kinsoku/>
        <w:wordWrap/>
        <w:overflowPunct/>
        <w:topLinePunct w:val="0"/>
        <w:bidi w:val="0"/>
        <w:snapToGrid/>
        <w:spacing w:line="440" w:lineRule="exact"/>
        <w:ind w:firstLine="480" w:firstLineChars="200"/>
        <w:textAlignment w:val="auto"/>
        <w:rPr>
          <w:rFonts w:hint="eastAsia" w:ascii="宋体" w:hAnsi="宋体" w:eastAsia="宋体" w:cs="宋体"/>
          <w:b/>
          <w:bCs/>
          <w:color w:val="auto"/>
          <w:sz w:val="24"/>
          <w:szCs w:val="24"/>
          <w:highlight w:val="none"/>
          <w:u w:val="double"/>
        </w:rPr>
      </w:pPr>
      <w:r>
        <w:rPr>
          <w:rFonts w:hint="eastAsia" w:ascii="宋体" w:hAnsi="宋体" w:eastAsia="宋体" w:cs="宋体"/>
          <w:color w:val="auto"/>
          <w:sz w:val="24"/>
          <w:szCs w:val="24"/>
          <w:highlight w:val="none"/>
        </w:rPr>
        <w:t>5.3投标文件递交的截止时间（投标截止时间，下同），</w:t>
      </w:r>
      <w:r>
        <w:rPr>
          <w:rFonts w:hint="eastAsia" w:ascii="宋体" w:hAnsi="宋体" w:eastAsia="宋体" w:cs="宋体"/>
          <w:color w:val="auto"/>
          <w:sz w:val="24"/>
          <w:szCs w:val="24"/>
          <w:highlight w:val="none"/>
          <w:u w:val="double"/>
        </w:rPr>
        <w:t>为2022年</w:t>
      </w:r>
      <w:r>
        <w:rPr>
          <w:rFonts w:hint="eastAsia" w:ascii="宋体" w:hAnsi="宋体" w:eastAsia="宋体" w:cs="宋体"/>
          <w:color w:val="auto"/>
          <w:sz w:val="24"/>
          <w:szCs w:val="24"/>
          <w:highlight w:val="none"/>
          <w:u w:val="double"/>
          <w:lang w:val="en-US" w:eastAsia="zh-CN"/>
        </w:rPr>
        <w:t>9</w:t>
      </w:r>
      <w:r>
        <w:rPr>
          <w:rFonts w:hint="eastAsia" w:ascii="宋体" w:hAnsi="宋体" w:eastAsia="宋体" w:cs="宋体"/>
          <w:color w:val="auto"/>
          <w:sz w:val="24"/>
          <w:szCs w:val="24"/>
          <w:highlight w:val="none"/>
          <w:u w:val="double"/>
        </w:rPr>
        <w:t>月</w:t>
      </w:r>
      <w:r>
        <w:rPr>
          <w:rFonts w:hint="eastAsia" w:ascii="宋体" w:hAnsi="宋体" w:eastAsia="宋体" w:cs="宋体"/>
          <w:color w:val="auto"/>
          <w:sz w:val="24"/>
          <w:szCs w:val="24"/>
          <w:highlight w:val="none"/>
          <w:u w:val="double"/>
          <w:lang w:val="en-US" w:eastAsia="zh-CN"/>
        </w:rPr>
        <w:t>15</w:t>
      </w:r>
      <w:r>
        <w:rPr>
          <w:rFonts w:hint="eastAsia" w:ascii="宋体" w:hAnsi="宋体" w:eastAsia="宋体" w:cs="宋体"/>
          <w:color w:val="auto"/>
          <w:sz w:val="24"/>
          <w:szCs w:val="24"/>
          <w:highlight w:val="none"/>
          <w:u w:val="double"/>
        </w:rPr>
        <w:t>日9时，投标人应于当日9时前将投标文件采用邮寄快递方式递交至浙江省嘉兴市誉天公证处,</w:t>
      </w:r>
      <w:r>
        <w:rPr>
          <w:rFonts w:hint="eastAsia" w:ascii="宋体" w:hAnsi="宋体" w:eastAsia="宋体" w:cs="宋体"/>
          <w:b/>
          <w:bCs/>
          <w:color w:val="auto"/>
          <w:sz w:val="24"/>
          <w:szCs w:val="24"/>
          <w:highlight w:val="none"/>
          <w:u w:val="double"/>
        </w:rPr>
        <w:t>邮寄快递地址：浙江省嘉兴市秦逸路32号华隆广场一号楼18楼浙江省嘉兴市誉天公证处，收件人：</w:t>
      </w:r>
      <w:r>
        <w:rPr>
          <w:rFonts w:hint="eastAsia" w:ascii="宋体" w:hAnsi="宋体" w:eastAsia="宋体" w:cs="宋体"/>
          <w:b/>
          <w:bCs/>
          <w:color w:val="auto"/>
          <w:sz w:val="24"/>
          <w:highlight w:val="none"/>
          <w:u w:val="double"/>
        </w:rPr>
        <w:t>林敬，联系电话0573-89976206</w:t>
      </w:r>
      <w:r>
        <w:rPr>
          <w:rFonts w:hint="eastAsia" w:ascii="宋体" w:hAnsi="宋体" w:eastAsia="宋体" w:cs="宋体"/>
          <w:b/>
          <w:bCs/>
          <w:color w:val="auto"/>
          <w:sz w:val="24"/>
          <w:szCs w:val="24"/>
          <w:highlight w:val="none"/>
          <w:u w:val="double"/>
        </w:rPr>
        <w:t>，采用邮寄快递的，邮寄快递时，必须注明项目名称、投标人名称、寄件人和联系电话，邮寄快递后必须电话告知代理单位，以便代理单位做好签收工作,由于疫情期间各地快递可能会有所延迟，投标人应充分考虑疫情因素对投标文件制作的影响及邮寄快递投标文件所需的时间。</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5.4逾期送达的或者未送达指定地点的投标文件，招标人不予受理。</w:t>
      </w:r>
    </w:p>
    <w:p>
      <w:pPr>
        <w:keepNext w:val="0"/>
        <w:keepLines w:val="0"/>
        <w:pageBreakBefore w:val="0"/>
        <w:kinsoku/>
        <w:wordWrap/>
        <w:overflowPunct/>
        <w:topLinePunct w:val="0"/>
        <w:bidi w:val="0"/>
        <w:snapToGrid/>
        <w:spacing w:line="440" w:lineRule="exact"/>
        <w:ind w:firstLine="480" w:firstLineChars="200"/>
        <w:jc w:val="left"/>
        <w:textAlignment w:val="auto"/>
        <w:rPr>
          <w:rFonts w:hint="eastAsia" w:ascii="宋体" w:hAnsi="宋体" w:eastAsia="宋体" w:cs="宋体"/>
          <w:b/>
          <w:bCs/>
          <w:color w:val="auto"/>
          <w:sz w:val="24"/>
          <w:szCs w:val="24"/>
          <w:highlight w:val="none"/>
          <w:u w:val="double"/>
        </w:rPr>
      </w:pPr>
      <w:r>
        <w:rPr>
          <w:rFonts w:hint="eastAsia" w:ascii="宋体" w:hAnsi="宋体" w:eastAsia="宋体" w:cs="宋体"/>
          <w:color w:val="auto"/>
          <w:sz w:val="24"/>
          <w:szCs w:val="24"/>
          <w:highlight w:val="none"/>
        </w:rPr>
        <w:t>招标人定于</w:t>
      </w:r>
      <w:r>
        <w:rPr>
          <w:rFonts w:hint="eastAsia" w:ascii="宋体" w:hAnsi="宋体" w:eastAsia="宋体" w:cs="宋体"/>
          <w:color w:val="auto"/>
          <w:sz w:val="24"/>
          <w:szCs w:val="24"/>
          <w:highlight w:val="none"/>
          <w:u w:val="double"/>
        </w:rPr>
        <w:t>2022年</w:t>
      </w:r>
      <w:r>
        <w:rPr>
          <w:rFonts w:hint="eastAsia" w:ascii="宋体" w:hAnsi="宋体" w:eastAsia="宋体" w:cs="宋体"/>
          <w:color w:val="auto"/>
          <w:sz w:val="24"/>
          <w:szCs w:val="24"/>
          <w:highlight w:val="none"/>
          <w:u w:val="double"/>
          <w:lang w:val="en-US" w:eastAsia="zh-CN"/>
        </w:rPr>
        <w:t>9</w:t>
      </w:r>
      <w:r>
        <w:rPr>
          <w:rFonts w:hint="eastAsia" w:ascii="宋体" w:hAnsi="宋体" w:eastAsia="宋体" w:cs="宋体"/>
          <w:color w:val="auto"/>
          <w:sz w:val="24"/>
          <w:szCs w:val="24"/>
          <w:highlight w:val="none"/>
          <w:u w:val="double"/>
        </w:rPr>
        <w:t>月</w:t>
      </w:r>
      <w:r>
        <w:rPr>
          <w:rFonts w:hint="eastAsia" w:ascii="宋体" w:hAnsi="宋体" w:eastAsia="宋体" w:cs="宋体"/>
          <w:color w:val="auto"/>
          <w:sz w:val="24"/>
          <w:szCs w:val="24"/>
          <w:highlight w:val="none"/>
          <w:u w:val="double"/>
          <w:lang w:val="en-US" w:eastAsia="zh-CN"/>
        </w:rPr>
        <w:t>15</w:t>
      </w:r>
      <w:r>
        <w:rPr>
          <w:rFonts w:hint="eastAsia" w:ascii="宋体" w:hAnsi="宋体" w:eastAsia="宋体" w:cs="宋体"/>
          <w:color w:val="auto"/>
          <w:sz w:val="24"/>
          <w:szCs w:val="24"/>
          <w:highlight w:val="none"/>
          <w:u w:val="double"/>
        </w:rPr>
        <w:t>日</w:t>
      </w:r>
      <w:bookmarkStart w:id="48" w:name="_GoBack"/>
      <w:bookmarkEnd w:id="48"/>
      <w:r>
        <w:rPr>
          <w:rFonts w:hint="eastAsia" w:ascii="宋体" w:hAnsi="宋体" w:eastAsia="宋体" w:cs="宋体"/>
          <w:color w:val="auto"/>
          <w:sz w:val="24"/>
          <w:szCs w:val="24"/>
          <w:highlight w:val="none"/>
          <w:u w:val="double"/>
        </w:rPr>
        <w:t>9时，在嘉兴市公共资源交易中心指定的开标室（嘉兴市广场路350号，市行政中心西侧）</w:t>
      </w:r>
      <w:r>
        <w:rPr>
          <w:rFonts w:hint="eastAsia" w:ascii="宋体" w:hAnsi="宋体" w:eastAsia="宋体" w:cs="宋体"/>
          <w:b/>
          <w:bCs/>
          <w:color w:val="auto"/>
          <w:sz w:val="24"/>
          <w:szCs w:val="24"/>
          <w:highlight w:val="none"/>
          <w:u w:val="double"/>
        </w:rPr>
        <w:t>。根据《国家发展改革委办公厅关于积极应对疫情创新做好招投标工作保障经济平稳运行的通知》精神，并根据疫情防控需要，按照“不见面、少接触”的原则，本项目不要求投标人至开标现场参加投标代表身份核验、开标及开启投标文件等活动。</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21" w:name="_Toc93952190"/>
      <w:r>
        <w:rPr>
          <w:rFonts w:hint="eastAsia" w:ascii="宋体" w:hAnsi="宋体" w:eastAsia="宋体" w:cs="宋体"/>
          <w:b/>
          <w:bCs/>
          <w:color w:val="auto"/>
          <w:kern w:val="0"/>
          <w:sz w:val="24"/>
          <w:szCs w:val="24"/>
          <w:highlight w:val="none"/>
        </w:rPr>
        <w:t>6.发布公告的媒介</w:t>
      </w:r>
      <w:bookmarkEnd w:id="16"/>
      <w:bookmarkEnd w:id="17"/>
      <w:bookmarkEnd w:id="18"/>
      <w:bookmarkEnd w:id="21"/>
    </w:p>
    <w:p>
      <w:pPr>
        <w:pStyle w:val="7"/>
        <w:keepNext w:val="0"/>
        <w:keepLines w:val="0"/>
        <w:pageBreakBefore w:val="0"/>
        <w:kinsoku/>
        <w:wordWrap/>
        <w:overflowPunct/>
        <w:topLinePunct w:val="0"/>
        <w:bidi w:val="0"/>
        <w:snapToGrid/>
        <w:spacing w:line="440" w:lineRule="exact"/>
        <w:ind w:firstLine="48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本次招标公告将同时在嘉兴市公共资源交易中心网站（http://jxszwsjb.jiaxing.gov.cn/）、</w:t>
      </w:r>
      <w:r>
        <w:rPr>
          <w:rFonts w:hint="eastAsia" w:ascii="宋体" w:hAnsi="宋体" w:eastAsia="宋体" w:cs="宋体"/>
          <w:color w:val="auto"/>
          <w:highlight w:val="none"/>
        </w:rPr>
        <w:t>嘉兴市交通运输局网（http://jtysj.jiaxing.gov.cn/）及</w:t>
      </w:r>
      <w:r>
        <w:rPr>
          <w:rFonts w:hint="eastAsia" w:ascii="宋体" w:hAnsi="宋体" w:eastAsia="宋体" w:cs="宋体"/>
          <w:color w:val="auto"/>
          <w:kern w:val="2"/>
          <w:highlight w:val="none"/>
        </w:rPr>
        <w:t>嘉兴市交通投资集团有限责任公司网站（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"http://www.jxjtjt.cn/"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highlight w:val="none"/>
        </w:rPr>
        <w:t>http://www.jxjtjt.cn/</w:t>
      </w:r>
      <w:r>
        <w:rPr>
          <w:rFonts w:hint="eastAsia" w:ascii="宋体" w:hAnsi="宋体" w:eastAsia="宋体" w:cs="宋体"/>
          <w:color w:val="auto"/>
          <w:kern w:val="2"/>
          <w:highlight w:val="none"/>
        </w:rPr>
        <w:fldChar w:fldCharType="end"/>
      </w:r>
      <w:r>
        <w:rPr>
          <w:rFonts w:hint="eastAsia" w:ascii="宋体" w:hAnsi="宋体" w:eastAsia="宋体" w:cs="宋体"/>
          <w:color w:val="auto"/>
          <w:kern w:val="2"/>
          <w:highlight w:val="none"/>
        </w:rPr>
        <w:t>）上发布。</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1"/>
        <w:rPr>
          <w:rFonts w:hint="eastAsia" w:ascii="宋体" w:hAnsi="宋体" w:eastAsia="宋体" w:cs="宋体"/>
          <w:b/>
          <w:bCs/>
          <w:color w:val="auto"/>
          <w:kern w:val="0"/>
          <w:sz w:val="24"/>
          <w:szCs w:val="24"/>
          <w:highlight w:val="none"/>
        </w:rPr>
      </w:pPr>
      <w:bookmarkStart w:id="22" w:name="_Toc93952191"/>
      <w:r>
        <w:rPr>
          <w:rFonts w:hint="eastAsia" w:ascii="宋体" w:hAnsi="宋体" w:eastAsia="宋体" w:cs="宋体"/>
          <w:b/>
          <w:bCs/>
          <w:color w:val="auto"/>
          <w:kern w:val="0"/>
          <w:sz w:val="24"/>
          <w:szCs w:val="24"/>
          <w:highlight w:val="none"/>
        </w:rPr>
        <w:t>7.联系方式</w:t>
      </w:r>
      <w:bookmarkEnd w:id="22"/>
    </w:p>
    <w:p>
      <w:pPr>
        <w:pStyle w:val="7"/>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招 标 人：嘉兴市快速路建设发展有限公司    招标代理：浙江天平投资咨询有限公司</w:t>
      </w:r>
    </w:p>
    <w:p>
      <w:pPr>
        <w:pStyle w:val="7"/>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spacing w:val="-10"/>
          <w:highlight w:val="none"/>
        </w:rPr>
        <w:t>嘉兴市由拳路309号紫御大厦301室</w:t>
      </w:r>
      <w:r>
        <w:rPr>
          <w:rFonts w:hint="eastAsia" w:ascii="宋体" w:hAnsi="宋体" w:eastAsia="宋体" w:cs="宋体"/>
          <w:color w:val="auto"/>
          <w:highlight w:val="none"/>
        </w:rPr>
        <w:t xml:space="preserve">  地  址：嘉兴市置地广场东楼1205室</w:t>
      </w:r>
    </w:p>
    <w:p>
      <w:pPr>
        <w:pStyle w:val="7"/>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邮政编码：314300                          邮政编码：314000    </w:t>
      </w:r>
    </w:p>
    <w:p>
      <w:pPr>
        <w:pStyle w:val="7"/>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人：朱蔚涛                          联 系 人：张康</w:t>
      </w:r>
    </w:p>
    <w:p>
      <w:pPr>
        <w:pStyle w:val="7"/>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话：0573-82620057                   电    话：0573-82764883       </w:t>
      </w:r>
    </w:p>
    <w:p>
      <w:pPr>
        <w:pStyle w:val="7"/>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传    真：/                               传    真：0573-82764882</w:t>
      </w:r>
    </w:p>
    <w:p>
      <w:pPr>
        <w:pStyle w:val="7"/>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highlight w:val="none"/>
        </w:rPr>
      </w:pPr>
    </w:p>
    <w:p>
      <w:pPr>
        <w:pStyle w:val="7"/>
        <w:keepNext w:val="0"/>
        <w:keepLines w:val="0"/>
        <w:pageBreakBefore w:val="0"/>
        <w:kinsoku/>
        <w:wordWrap/>
        <w:overflowPunct/>
        <w:topLinePunct w:val="0"/>
        <w:bidi w:val="0"/>
        <w:snapToGrid/>
        <w:spacing w:line="440" w:lineRule="exact"/>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2022年</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日</w:t>
      </w:r>
    </w:p>
    <w:p>
      <w:pPr>
        <w:widowControl/>
        <w:spacing w:line="360" w:lineRule="auto"/>
        <w:jc w:val="left"/>
        <w:rPr>
          <w:rFonts w:cs="Times New Roman"/>
          <w:color w:val="auto"/>
          <w:sz w:val="28"/>
          <w:szCs w:val="28"/>
          <w:highlight w:val="none"/>
        </w:rPr>
      </w:pPr>
      <w:r>
        <w:rPr>
          <w:rFonts w:hint="eastAsia"/>
          <w:color w:val="auto"/>
          <w:sz w:val="28"/>
          <w:szCs w:val="28"/>
          <w:highlight w:val="none"/>
        </w:rPr>
        <w:t>附录</w:t>
      </w:r>
    </w:p>
    <w:p>
      <w:pPr>
        <w:spacing w:line="400" w:lineRule="exact"/>
        <w:rPr>
          <w:rFonts w:cs="Times New Roman"/>
          <w:color w:val="auto"/>
          <w:sz w:val="28"/>
          <w:szCs w:val="28"/>
          <w:highlight w:val="none"/>
        </w:rPr>
      </w:pPr>
    </w:p>
    <w:p>
      <w:pPr>
        <w:spacing w:line="400" w:lineRule="exact"/>
        <w:rPr>
          <w:rFonts w:cs="Times New Roman"/>
          <w:color w:val="auto"/>
          <w:sz w:val="28"/>
          <w:szCs w:val="28"/>
          <w:highlight w:val="none"/>
        </w:rPr>
      </w:pPr>
    </w:p>
    <w:p>
      <w:pPr>
        <w:spacing w:line="400" w:lineRule="exact"/>
        <w:jc w:val="center"/>
        <w:outlineLvl w:val="1"/>
        <w:rPr>
          <w:rFonts w:cs="Times New Roman"/>
          <w:color w:val="auto"/>
          <w:sz w:val="28"/>
          <w:szCs w:val="28"/>
          <w:highlight w:val="none"/>
        </w:rPr>
      </w:pPr>
      <w:bookmarkStart w:id="23" w:name="_Toc8784"/>
      <w:bookmarkStart w:id="24" w:name="_Toc284866235"/>
      <w:bookmarkStart w:id="25" w:name="_Toc9235"/>
      <w:bookmarkStart w:id="26" w:name="_Toc14693"/>
      <w:bookmarkStart w:id="27" w:name="_Toc93952194"/>
      <w:bookmarkStart w:id="28" w:name="_Toc239671836"/>
      <w:bookmarkStart w:id="29" w:name="_Toc24936"/>
      <w:bookmarkStart w:id="30" w:name="_Toc21279"/>
      <w:r>
        <w:rPr>
          <w:rFonts w:hint="eastAsia"/>
          <w:color w:val="auto"/>
          <w:sz w:val="28"/>
          <w:szCs w:val="28"/>
          <w:highlight w:val="none"/>
        </w:rPr>
        <w:t>附录</w:t>
      </w:r>
      <w:r>
        <w:rPr>
          <w:color w:val="auto"/>
          <w:sz w:val="28"/>
          <w:szCs w:val="28"/>
          <w:highlight w:val="none"/>
        </w:rPr>
        <w:t xml:space="preserve">1  </w:t>
      </w:r>
      <w:r>
        <w:rPr>
          <w:rFonts w:hint="eastAsia"/>
          <w:color w:val="auto"/>
          <w:sz w:val="28"/>
          <w:szCs w:val="28"/>
          <w:highlight w:val="none"/>
        </w:rPr>
        <w:t>资格审查条件（资质最低条件）</w:t>
      </w:r>
      <w:bookmarkEnd w:id="23"/>
      <w:bookmarkEnd w:id="24"/>
      <w:bookmarkEnd w:id="25"/>
      <w:bookmarkEnd w:id="26"/>
      <w:bookmarkEnd w:id="27"/>
      <w:bookmarkEnd w:id="28"/>
      <w:bookmarkEnd w:id="29"/>
      <w:bookmarkEnd w:id="30"/>
    </w:p>
    <w:p>
      <w:pPr>
        <w:spacing w:line="400" w:lineRule="exact"/>
        <w:jc w:val="center"/>
        <w:rPr>
          <w:rFonts w:cs="Times New Roman"/>
          <w:color w:val="auto"/>
          <w:highlight w:val="none"/>
        </w:rPr>
      </w:pPr>
    </w:p>
    <w:tbl>
      <w:tblPr>
        <w:tblStyle w:val="8"/>
        <w:tblW w:w="9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7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653" w:type="dxa"/>
            <w:tcBorders>
              <w:top w:val="single" w:color="auto" w:sz="12" w:space="0"/>
            </w:tcBorders>
            <w:noWrap w:val="0"/>
            <w:vAlign w:val="center"/>
          </w:tcPr>
          <w:p>
            <w:pPr>
              <w:spacing w:line="400" w:lineRule="exact"/>
              <w:jc w:val="center"/>
              <w:rPr>
                <w:rFonts w:cs="Times New Roman"/>
                <w:b/>
                <w:bCs/>
                <w:color w:val="auto"/>
                <w:highlight w:val="none"/>
              </w:rPr>
            </w:pPr>
            <w:r>
              <w:rPr>
                <w:rFonts w:hint="eastAsia"/>
                <w:b/>
                <w:bCs/>
                <w:color w:val="auto"/>
                <w:highlight w:val="none"/>
              </w:rPr>
              <w:t>标段</w:t>
            </w:r>
          </w:p>
        </w:tc>
        <w:tc>
          <w:tcPr>
            <w:tcW w:w="7647" w:type="dxa"/>
            <w:tcBorders>
              <w:top w:val="single" w:color="auto" w:sz="12" w:space="0"/>
            </w:tcBorders>
            <w:noWrap w:val="0"/>
            <w:vAlign w:val="center"/>
          </w:tcPr>
          <w:p>
            <w:pPr>
              <w:spacing w:line="400" w:lineRule="exact"/>
              <w:jc w:val="center"/>
              <w:rPr>
                <w:rFonts w:cs="Times New Roman"/>
                <w:b/>
                <w:bCs/>
                <w:color w:val="auto"/>
                <w:highlight w:val="none"/>
              </w:rPr>
            </w:pPr>
            <w:r>
              <w:rPr>
                <w:rFonts w:hint="eastAsia"/>
                <w:b/>
                <w:bCs/>
                <w:color w:val="auto"/>
                <w:highlight w:val="none"/>
              </w:rPr>
              <w:t>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4" w:hRule="atLeast"/>
          <w:jc w:val="center"/>
        </w:trPr>
        <w:tc>
          <w:tcPr>
            <w:tcW w:w="1653" w:type="dxa"/>
            <w:tcBorders>
              <w:bottom w:val="single" w:color="auto" w:sz="12" w:space="0"/>
            </w:tcBorders>
            <w:noWrap w:val="0"/>
            <w:vAlign w:val="center"/>
          </w:tcPr>
          <w:p>
            <w:pPr>
              <w:spacing w:line="400" w:lineRule="exact"/>
              <w:jc w:val="center"/>
              <w:rPr>
                <w:color w:val="auto"/>
                <w:highlight w:val="none"/>
              </w:rPr>
            </w:pPr>
            <w:r>
              <w:rPr>
                <w:color w:val="auto"/>
                <w:highlight w:val="none"/>
              </w:rPr>
              <w:t>/</w:t>
            </w:r>
          </w:p>
        </w:tc>
        <w:tc>
          <w:tcPr>
            <w:tcW w:w="7647" w:type="dxa"/>
            <w:tcBorders>
              <w:bottom w:val="single" w:color="auto" w:sz="12" w:space="0"/>
            </w:tcBorders>
            <w:noWrap w:val="0"/>
            <w:vAlign w:val="center"/>
          </w:tcPr>
          <w:p>
            <w:pPr>
              <w:spacing w:line="360" w:lineRule="auto"/>
              <w:ind w:firstLine="315" w:firstLineChars="150"/>
              <w:rPr>
                <w:rFonts w:cs="Times New Roman"/>
                <w:color w:val="auto"/>
                <w:kern w:val="0"/>
                <w:highlight w:val="none"/>
              </w:rPr>
            </w:pPr>
            <w:r>
              <w:rPr>
                <w:color w:val="auto"/>
                <w:kern w:val="0"/>
                <w:highlight w:val="none"/>
              </w:rPr>
              <w:t>1</w:t>
            </w:r>
            <w:r>
              <w:rPr>
                <w:rFonts w:hint="eastAsia"/>
                <w:color w:val="auto"/>
                <w:kern w:val="0"/>
                <w:highlight w:val="none"/>
              </w:rPr>
              <w:t>、投标人具有独立法人资格、具有工程设计综合甲级资质或工程设计公路行业甲级资质或通过“全国投资项目在线审批监管平台”备案（备案专业包含“公路”专业，服务范围包含“项目咨询”）。</w:t>
            </w:r>
          </w:p>
          <w:p>
            <w:pPr>
              <w:spacing w:line="360" w:lineRule="auto"/>
              <w:ind w:firstLine="315" w:firstLineChars="150"/>
              <w:rPr>
                <w:rFonts w:ascii="’Times New Roman’" w:eastAsia="’Times New Roman’" w:cs="Times New Roman"/>
                <w:color w:val="auto"/>
                <w:kern w:val="0"/>
                <w:sz w:val="24"/>
                <w:szCs w:val="24"/>
                <w:highlight w:val="none"/>
              </w:rPr>
            </w:pPr>
            <w:r>
              <w:rPr>
                <w:color w:val="auto"/>
                <w:kern w:val="0"/>
                <w:highlight w:val="none"/>
              </w:rPr>
              <w:t>2</w:t>
            </w:r>
            <w:r>
              <w:rPr>
                <w:rFonts w:hint="eastAsia"/>
                <w:color w:val="auto"/>
                <w:kern w:val="0"/>
                <w:highlight w:val="none"/>
              </w:rPr>
              <w:t>、投标人非该项目勘察设计中标人（联合体中标的指联合体所有成员）。</w:t>
            </w:r>
          </w:p>
        </w:tc>
      </w:tr>
    </w:tbl>
    <w:p>
      <w:pPr>
        <w:spacing w:line="360" w:lineRule="auto"/>
        <w:ind w:firstLine="420" w:firstLineChars="200"/>
        <w:jc w:val="left"/>
        <w:rPr>
          <w:color w:val="auto"/>
          <w:kern w:val="0"/>
          <w:highlight w:val="none"/>
        </w:rPr>
      </w:pPr>
      <w:r>
        <w:rPr>
          <w:rFonts w:hint="eastAsia"/>
          <w:color w:val="auto"/>
          <w:kern w:val="0"/>
          <w:highlight w:val="none"/>
        </w:rPr>
        <w:t>注：投</w:t>
      </w:r>
      <w:r>
        <w:rPr>
          <w:color w:val="auto"/>
          <w:kern w:val="0"/>
          <w:highlight w:val="none"/>
        </w:rPr>
        <w:t xml:space="preserve"> </w:t>
      </w:r>
      <w:r>
        <w:rPr>
          <w:rFonts w:hint="eastAsia"/>
          <w:color w:val="auto"/>
          <w:kern w:val="0"/>
          <w:highlight w:val="none"/>
        </w:rPr>
        <w:t>标</w:t>
      </w:r>
      <w:r>
        <w:rPr>
          <w:color w:val="auto"/>
          <w:kern w:val="0"/>
          <w:highlight w:val="none"/>
        </w:rPr>
        <w:t xml:space="preserve"> </w:t>
      </w:r>
      <w:r>
        <w:rPr>
          <w:rFonts w:hint="eastAsia"/>
          <w:color w:val="auto"/>
          <w:kern w:val="0"/>
          <w:highlight w:val="none"/>
        </w:rPr>
        <w:t>人为设计资质应</w:t>
      </w:r>
      <w:r>
        <w:rPr>
          <w:color w:val="auto"/>
          <w:kern w:val="0"/>
          <w:highlight w:val="none"/>
        </w:rPr>
        <w:t xml:space="preserve"> </w:t>
      </w:r>
      <w:r>
        <w:rPr>
          <w:rFonts w:hint="eastAsia"/>
          <w:color w:val="auto"/>
          <w:kern w:val="0"/>
          <w:highlight w:val="none"/>
        </w:rPr>
        <w:t>列</w:t>
      </w:r>
      <w:r>
        <w:rPr>
          <w:color w:val="auto"/>
          <w:kern w:val="0"/>
          <w:highlight w:val="none"/>
        </w:rPr>
        <w:t xml:space="preserve"> </w:t>
      </w:r>
      <w:r>
        <w:rPr>
          <w:rFonts w:hint="eastAsia"/>
          <w:color w:val="auto"/>
          <w:kern w:val="0"/>
          <w:highlight w:val="none"/>
        </w:rPr>
        <w:t>入</w:t>
      </w:r>
      <w:r>
        <w:rPr>
          <w:color w:val="auto"/>
          <w:kern w:val="0"/>
          <w:highlight w:val="none"/>
        </w:rPr>
        <w:t xml:space="preserve"> </w:t>
      </w:r>
      <w:r>
        <w:rPr>
          <w:rFonts w:hint="eastAsia"/>
          <w:color w:val="auto"/>
          <w:kern w:val="0"/>
          <w:highlight w:val="none"/>
        </w:rPr>
        <w:t>交</w:t>
      </w:r>
      <w:r>
        <w:rPr>
          <w:color w:val="auto"/>
          <w:kern w:val="0"/>
          <w:highlight w:val="none"/>
        </w:rPr>
        <w:t xml:space="preserve"> </w:t>
      </w:r>
      <w:r>
        <w:rPr>
          <w:rFonts w:hint="eastAsia"/>
          <w:color w:val="auto"/>
          <w:kern w:val="0"/>
          <w:highlight w:val="none"/>
        </w:rPr>
        <w:t>通</w:t>
      </w:r>
      <w:r>
        <w:rPr>
          <w:color w:val="auto"/>
          <w:kern w:val="0"/>
          <w:highlight w:val="none"/>
        </w:rPr>
        <w:t xml:space="preserve"> </w:t>
      </w:r>
      <w:r>
        <w:rPr>
          <w:rFonts w:hint="eastAsia"/>
          <w:color w:val="auto"/>
          <w:kern w:val="0"/>
          <w:highlight w:val="none"/>
        </w:rPr>
        <w:t>运</w:t>
      </w:r>
      <w:r>
        <w:rPr>
          <w:color w:val="auto"/>
          <w:kern w:val="0"/>
          <w:highlight w:val="none"/>
        </w:rPr>
        <w:t xml:space="preserve"> </w:t>
      </w:r>
      <w:r>
        <w:rPr>
          <w:rFonts w:hint="eastAsia"/>
          <w:color w:val="auto"/>
          <w:kern w:val="0"/>
          <w:highlight w:val="none"/>
        </w:rPr>
        <w:t>输</w:t>
      </w:r>
      <w:r>
        <w:rPr>
          <w:color w:val="auto"/>
          <w:kern w:val="0"/>
          <w:highlight w:val="none"/>
        </w:rPr>
        <w:t xml:space="preserve"> </w:t>
      </w:r>
      <w:r>
        <w:rPr>
          <w:rFonts w:hint="eastAsia"/>
          <w:color w:val="auto"/>
          <w:kern w:val="0"/>
          <w:highlight w:val="none"/>
        </w:rPr>
        <w:t>部</w:t>
      </w:r>
      <w:r>
        <w:rPr>
          <w:color w:val="auto"/>
          <w:kern w:val="0"/>
          <w:highlight w:val="none"/>
        </w:rPr>
        <w:t xml:space="preserve"> </w:t>
      </w:r>
      <w:r>
        <w:rPr>
          <w:rFonts w:hint="eastAsia"/>
          <w:color w:val="auto"/>
          <w:kern w:val="0"/>
          <w:highlight w:val="none"/>
        </w:rPr>
        <w:t>“</w:t>
      </w:r>
      <w:r>
        <w:rPr>
          <w:color w:val="auto"/>
          <w:kern w:val="0"/>
          <w:highlight w:val="none"/>
        </w:rPr>
        <w:t xml:space="preserve"> </w:t>
      </w:r>
      <w:r>
        <w:rPr>
          <w:rFonts w:hint="eastAsia"/>
          <w:color w:val="auto"/>
          <w:kern w:val="0"/>
          <w:highlight w:val="none"/>
        </w:rPr>
        <w:t>全</w:t>
      </w:r>
      <w:r>
        <w:rPr>
          <w:color w:val="auto"/>
          <w:kern w:val="0"/>
          <w:highlight w:val="none"/>
        </w:rPr>
        <w:t xml:space="preserve"> </w:t>
      </w:r>
      <w:r>
        <w:rPr>
          <w:rFonts w:hint="eastAsia"/>
          <w:color w:val="auto"/>
          <w:kern w:val="0"/>
          <w:highlight w:val="none"/>
        </w:rPr>
        <w:t>国</w:t>
      </w:r>
      <w:r>
        <w:rPr>
          <w:color w:val="auto"/>
          <w:kern w:val="0"/>
          <w:highlight w:val="none"/>
        </w:rPr>
        <w:t xml:space="preserve"> </w:t>
      </w:r>
      <w:r>
        <w:rPr>
          <w:rFonts w:hint="eastAsia"/>
          <w:color w:val="auto"/>
          <w:kern w:val="0"/>
          <w:highlight w:val="none"/>
        </w:rPr>
        <w:t>公</w:t>
      </w:r>
      <w:r>
        <w:rPr>
          <w:color w:val="auto"/>
          <w:kern w:val="0"/>
          <w:highlight w:val="none"/>
        </w:rPr>
        <w:t xml:space="preserve"> </w:t>
      </w:r>
      <w:r>
        <w:rPr>
          <w:rFonts w:hint="eastAsia"/>
          <w:color w:val="auto"/>
          <w:kern w:val="0"/>
          <w:highlight w:val="none"/>
        </w:rPr>
        <w:t>路</w:t>
      </w:r>
      <w:r>
        <w:rPr>
          <w:color w:val="auto"/>
          <w:kern w:val="0"/>
          <w:highlight w:val="none"/>
        </w:rPr>
        <w:t xml:space="preserve"> </w:t>
      </w:r>
      <w:r>
        <w:rPr>
          <w:rFonts w:hint="eastAsia"/>
          <w:color w:val="auto"/>
          <w:kern w:val="0"/>
          <w:highlight w:val="none"/>
        </w:rPr>
        <w:t>建</w:t>
      </w:r>
      <w:r>
        <w:rPr>
          <w:color w:val="auto"/>
          <w:kern w:val="0"/>
          <w:highlight w:val="none"/>
        </w:rPr>
        <w:t xml:space="preserve"> </w:t>
      </w:r>
      <w:r>
        <w:rPr>
          <w:rFonts w:hint="eastAsia"/>
          <w:color w:val="auto"/>
          <w:kern w:val="0"/>
          <w:highlight w:val="none"/>
        </w:rPr>
        <w:t>设</w:t>
      </w:r>
      <w:r>
        <w:rPr>
          <w:color w:val="auto"/>
          <w:kern w:val="0"/>
          <w:highlight w:val="none"/>
        </w:rPr>
        <w:t xml:space="preserve"> </w:t>
      </w:r>
      <w:r>
        <w:rPr>
          <w:rFonts w:hint="eastAsia"/>
          <w:color w:val="auto"/>
          <w:kern w:val="0"/>
          <w:highlight w:val="none"/>
        </w:rPr>
        <w:t>市</w:t>
      </w:r>
      <w:r>
        <w:rPr>
          <w:color w:val="auto"/>
          <w:kern w:val="0"/>
          <w:highlight w:val="none"/>
        </w:rPr>
        <w:t xml:space="preserve"> </w:t>
      </w:r>
      <w:r>
        <w:rPr>
          <w:rFonts w:hint="eastAsia"/>
          <w:color w:val="auto"/>
          <w:kern w:val="0"/>
          <w:highlight w:val="none"/>
        </w:rPr>
        <w:t>场</w:t>
      </w:r>
      <w:r>
        <w:rPr>
          <w:color w:val="auto"/>
          <w:kern w:val="0"/>
          <w:highlight w:val="none"/>
        </w:rPr>
        <w:t xml:space="preserve"> </w:t>
      </w:r>
      <w:r>
        <w:rPr>
          <w:rFonts w:hint="eastAsia"/>
          <w:color w:val="auto"/>
          <w:kern w:val="0"/>
          <w:highlight w:val="none"/>
        </w:rPr>
        <w:t>信</w:t>
      </w:r>
      <w:r>
        <w:rPr>
          <w:color w:val="auto"/>
          <w:kern w:val="0"/>
          <w:highlight w:val="none"/>
        </w:rPr>
        <w:t xml:space="preserve"> </w:t>
      </w:r>
      <w:r>
        <w:rPr>
          <w:rFonts w:hint="eastAsia"/>
          <w:color w:val="auto"/>
          <w:kern w:val="0"/>
          <w:highlight w:val="none"/>
        </w:rPr>
        <w:t>用</w:t>
      </w:r>
      <w:r>
        <w:rPr>
          <w:color w:val="auto"/>
          <w:kern w:val="0"/>
          <w:highlight w:val="none"/>
        </w:rPr>
        <w:t xml:space="preserve"> </w:t>
      </w:r>
      <w:r>
        <w:rPr>
          <w:rFonts w:hint="eastAsia"/>
          <w:color w:val="auto"/>
          <w:kern w:val="0"/>
          <w:highlight w:val="none"/>
        </w:rPr>
        <w:t>信</w:t>
      </w:r>
      <w:r>
        <w:rPr>
          <w:color w:val="auto"/>
          <w:kern w:val="0"/>
          <w:highlight w:val="none"/>
        </w:rPr>
        <w:t xml:space="preserve"> </w:t>
      </w:r>
      <w:r>
        <w:rPr>
          <w:rFonts w:hint="eastAsia"/>
          <w:color w:val="auto"/>
          <w:kern w:val="0"/>
          <w:highlight w:val="none"/>
        </w:rPr>
        <w:t>息</w:t>
      </w:r>
      <w:r>
        <w:rPr>
          <w:color w:val="auto"/>
          <w:kern w:val="0"/>
          <w:highlight w:val="none"/>
        </w:rPr>
        <w:t xml:space="preserve"> </w:t>
      </w:r>
      <w:r>
        <w:rPr>
          <w:rFonts w:hint="eastAsia"/>
          <w:color w:val="auto"/>
          <w:kern w:val="0"/>
          <w:highlight w:val="none"/>
        </w:rPr>
        <w:t>管</w:t>
      </w:r>
      <w:r>
        <w:rPr>
          <w:color w:val="auto"/>
          <w:kern w:val="0"/>
          <w:highlight w:val="none"/>
        </w:rPr>
        <w:t xml:space="preserve"> </w:t>
      </w:r>
      <w:r>
        <w:rPr>
          <w:rFonts w:hint="eastAsia"/>
          <w:color w:val="auto"/>
          <w:kern w:val="0"/>
          <w:highlight w:val="none"/>
        </w:rPr>
        <w:t>理</w:t>
      </w:r>
      <w:r>
        <w:rPr>
          <w:color w:val="auto"/>
          <w:kern w:val="0"/>
          <w:highlight w:val="none"/>
        </w:rPr>
        <w:t xml:space="preserve"> </w:t>
      </w:r>
      <w:r>
        <w:rPr>
          <w:rFonts w:hint="eastAsia"/>
          <w:color w:val="auto"/>
          <w:kern w:val="0"/>
          <w:highlight w:val="none"/>
        </w:rPr>
        <w:t>系</w:t>
      </w:r>
      <w:r>
        <w:rPr>
          <w:color w:val="auto"/>
          <w:kern w:val="0"/>
          <w:highlight w:val="none"/>
        </w:rPr>
        <w:t xml:space="preserve"> </w:t>
      </w:r>
      <w:r>
        <w:rPr>
          <w:rFonts w:hint="eastAsia"/>
          <w:color w:val="auto"/>
          <w:kern w:val="0"/>
          <w:highlight w:val="none"/>
        </w:rPr>
        <w:t>统（</w:t>
      </w:r>
      <w:r>
        <w:rPr>
          <w:color w:val="auto"/>
          <w:kern w:val="0"/>
          <w:highlight w:val="none"/>
        </w:rPr>
        <w:t>http://glxy.mot.gov.cn</w:t>
      </w:r>
      <w:r>
        <w:rPr>
          <w:rFonts w:hint="eastAsia"/>
          <w:color w:val="auto"/>
          <w:kern w:val="0"/>
          <w:highlight w:val="none"/>
        </w:rPr>
        <w:t>）”中的公路工程设计资质企业名录，且投标人名称和资质与该名录中的相应企业名称和资质完全一致（提供查询结果打印件或截图）。对于未进入上述名录或名称与上述名录不符的投标人，资格审查不予通过。</w:t>
      </w:r>
      <w:r>
        <w:rPr>
          <w:color w:val="auto"/>
          <w:kern w:val="0"/>
          <w:highlight w:val="none"/>
        </w:rPr>
        <w:t xml:space="preserve"> </w:t>
      </w:r>
    </w:p>
    <w:p>
      <w:pPr>
        <w:spacing w:line="420" w:lineRule="exact"/>
        <w:jc w:val="center"/>
        <w:rPr>
          <w:rFonts w:cs="Times New Roman"/>
          <w:b/>
          <w:bCs/>
          <w:color w:val="auto"/>
          <w:sz w:val="32"/>
          <w:szCs w:val="32"/>
          <w:highlight w:val="none"/>
        </w:rPr>
      </w:pPr>
    </w:p>
    <w:p>
      <w:pPr>
        <w:spacing w:line="420" w:lineRule="exact"/>
        <w:jc w:val="center"/>
        <w:rPr>
          <w:rFonts w:cs="Times New Roman"/>
          <w:b/>
          <w:bCs/>
          <w:color w:val="auto"/>
          <w:sz w:val="32"/>
          <w:szCs w:val="32"/>
          <w:highlight w:val="none"/>
        </w:rPr>
      </w:pPr>
    </w:p>
    <w:p>
      <w:pPr>
        <w:jc w:val="center"/>
        <w:rPr>
          <w:rFonts w:hint="eastAsia"/>
          <w:color w:val="auto"/>
          <w:sz w:val="28"/>
          <w:szCs w:val="28"/>
          <w:highlight w:val="none"/>
        </w:rPr>
      </w:pPr>
      <w:r>
        <w:rPr>
          <w:rFonts w:cs="Times New Roman"/>
          <w:color w:val="auto"/>
          <w:highlight w:val="none"/>
        </w:rPr>
        <w:br w:type="page"/>
      </w:r>
      <w:bookmarkStart w:id="31" w:name="_Toc11222"/>
      <w:bookmarkStart w:id="32" w:name="_Toc284866237"/>
      <w:bookmarkStart w:id="33" w:name="_Toc11279"/>
      <w:bookmarkStart w:id="34" w:name="_Toc239671838"/>
      <w:bookmarkStart w:id="35" w:name="_Toc12258"/>
      <w:bookmarkStart w:id="36" w:name="_Toc93952195"/>
      <w:bookmarkStart w:id="37" w:name="_Toc7557"/>
      <w:bookmarkStart w:id="38" w:name="_Toc4022"/>
      <w:r>
        <w:rPr>
          <w:rFonts w:hint="eastAsia"/>
          <w:color w:val="auto"/>
          <w:sz w:val="28"/>
          <w:szCs w:val="28"/>
          <w:highlight w:val="none"/>
        </w:rPr>
        <w:t>附录2  资格审查条件（业绩最低要求）</w:t>
      </w:r>
      <w:bookmarkEnd w:id="31"/>
      <w:bookmarkEnd w:id="32"/>
      <w:bookmarkEnd w:id="33"/>
      <w:bookmarkEnd w:id="34"/>
      <w:bookmarkEnd w:id="35"/>
      <w:bookmarkEnd w:id="36"/>
      <w:bookmarkEnd w:id="37"/>
      <w:bookmarkEnd w:id="38"/>
    </w:p>
    <w:p>
      <w:pPr>
        <w:spacing w:line="400" w:lineRule="exact"/>
        <w:jc w:val="center"/>
        <w:rPr>
          <w:rFonts w:cs="Times New Roman"/>
          <w:color w:val="auto"/>
          <w:sz w:val="28"/>
          <w:szCs w:val="28"/>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74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90" w:type="dxa"/>
            <w:tcBorders>
              <w:top w:val="single" w:color="auto" w:sz="12" w:space="0"/>
            </w:tcBorders>
            <w:noWrap w:val="0"/>
            <w:vAlign w:val="center"/>
          </w:tcPr>
          <w:p>
            <w:pPr>
              <w:jc w:val="center"/>
              <w:rPr>
                <w:rFonts w:cs="Times New Roman"/>
                <w:b/>
                <w:bCs/>
                <w:color w:val="auto"/>
                <w:highlight w:val="none"/>
              </w:rPr>
            </w:pPr>
            <w:r>
              <w:rPr>
                <w:rFonts w:hint="eastAsia"/>
                <w:b/>
                <w:bCs/>
                <w:color w:val="auto"/>
                <w:highlight w:val="none"/>
              </w:rPr>
              <w:t>标段</w:t>
            </w:r>
          </w:p>
        </w:tc>
        <w:tc>
          <w:tcPr>
            <w:tcW w:w="7429" w:type="dxa"/>
            <w:tcBorders>
              <w:top w:val="single" w:color="auto" w:sz="12" w:space="0"/>
            </w:tcBorders>
            <w:noWrap w:val="0"/>
            <w:vAlign w:val="center"/>
          </w:tcPr>
          <w:p>
            <w:pPr>
              <w:jc w:val="center"/>
              <w:rPr>
                <w:rFonts w:cs="Times New Roman"/>
                <w:b/>
                <w:bCs/>
                <w:color w:val="auto"/>
                <w:highlight w:val="none"/>
              </w:rPr>
            </w:pPr>
            <w:r>
              <w:rPr>
                <w:rFonts w:hint="eastAsia"/>
                <w:b/>
                <w:bCs/>
                <w:color w:val="auto"/>
                <w:highlight w:val="none"/>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590" w:type="dxa"/>
            <w:tcBorders>
              <w:bottom w:val="single" w:color="auto" w:sz="12" w:space="0"/>
            </w:tcBorders>
            <w:noWrap w:val="0"/>
            <w:vAlign w:val="center"/>
          </w:tcPr>
          <w:p>
            <w:pPr>
              <w:jc w:val="center"/>
              <w:rPr>
                <w:color w:val="auto"/>
                <w:highlight w:val="none"/>
              </w:rPr>
            </w:pPr>
            <w:r>
              <w:rPr>
                <w:color w:val="auto"/>
                <w:highlight w:val="none"/>
              </w:rPr>
              <w:t>/</w:t>
            </w:r>
          </w:p>
        </w:tc>
        <w:tc>
          <w:tcPr>
            <w:tcW w:w="7429" w:type="dxa"/>
            <w:tcBorders>
              <w:bottom w:val="single" w:color="auto" w:sz="12" w:space="0"/>
            </w:tcBorders>
            <w:noWrap w:val="0"/>
            <w:vAlign w:val="center"/>
          </w:tcPr>
          <w:p>
            <w:pPr>
              <w:spacing w:line="360" w:lineRule="auto"/>
              <w:ind w:firstLine="420" w:firstLineChars="200"/>
              <w:rPr>
                <w:rFonts w:cs="Times New Roman"/>
                <w:color w:val="auto"/>
                <w:highlight w:val="none"/>
              </w:rPr>
            </w:pPr>
            <w:r>
              <w:rPr>
                <w:rFonts w:hint="eastAsia"/>
                <w:color w:val="auto"/>
                <w:highlight w:val="none"/>
              </w:rPr>
              <w:t>自</w:t>
            </w:r>
            <w:r>
              <w:rPr>
                <w:color w:val="auto"/>
                <w:highlight w:val="none"/>
              </w:rPr>
              <w:t>2017</w:t>
            </w:r>
            <w:r>
              <w:rPr>
                <w:rFonts w:hint="eastAsia"/>
                <w:color w:val="auto"/>
                <w:highlight w:val="none"/>
              </w:rPr>
              <w:t>年7月</w:t>
            </w:r>
            <w:r>
              <w:rPr>
                <w:color w:val="auto"/>
                <w:highlight w:val="none"/>
              </w:rPr>
              <w:t>1</w:t>
            </w:r>
            <w:r>
              <w:rPr>
                <w:rFonts w:hint="eastAsia"/>
                <w:color w:val="auto"/>
                <w:highlight w:val="none"/>
              </w:rPr>
              <w:t>日以来，投标人按一个标段成功完成过一级及以上公路</w:t>
            </w:r>
            <w:r>
              <w:rPr>
                <w:rFonts w:hint="eastAsia"/>
                <w:color w:val="auto"/>
                <w:kern w:val="0"/>
                <w:highlight w:val="none"/>
              </w:rPr>
              <w:t>新建（或改建或扩建）</w:t>
            </w:r>
            <w:r>
              <w:rPr>
                <w:rFonts w:hint="eastAsia"/>
                <w:color w:val="auto"/>
                <w:highlight w:val="none"/>
              </w:rPr>
              <w:t>工程</w:t>
            </w:r>
            <w:r>
              <w:rPr>
                <w:rFonts w:hint="eastAsia"/>
                <w:color w:val="auto"/>
                <w:kern w:val="0"/>
                <w:highlight w:val="none"/>
              </w:rPr>
              <w:t>（含连续桥梁长度在</w:t>
            </w:r>
            <w:r>
              <w:rPr>
                <w:color w:val="auto"/>
                <w:kern w:val="0"/>
                <w:highlight w:val="none"/>
              </w:rPr>
              <w:t>3</w:t>
            </w:r>
            <w:r>
              <w:rPr>
                <w:rFonts w:hint="eastAsia"/>
                <w:color w:val="auto"/>
                <w:kern w:val="0"/>
                <w:highlight w:val="none"/>
              </w:rPr>
              <w:t>公里及以上）的</w:t>
            </w:r>
            <w:r>
              <w:rPr>
                <w:rFonts w:hint="eastAsia"/>
                <w:color w:val="auto"/>
                <w:highlight w:val="none"/>
              </w:rPr>
              <w:t>设计（或设计咨询或设计初审）任务。</w:t>
            </w:r>
          </w:p>
        </w:tc>
      </w:tr>
    </w:tbl>
    <w:p>
      <w:pPr>
        <w:autoSpaceDE w:val="0"/>
        <w:autoSpaceDN w:val="0"/>
        <w:adjustRightInd w:val="0"/>
        <w:spacing w:line="360" w:lineRule="auto"/>
        <w:jc w:val="left"/>
        <w:rPr>
          <w:rFonts w:cs="Times New Roman"/>
          <w:b/>
          <w:bCs/>
          <w:color w:val="auto"/>
          <w:highlight w:val="none"/>
        </w:rPr>
      </w:pPr>
      <w:r>
        <w:rPr>
          <w:rFonts w:hint="eastAsia"/>
          <w:color w:val="auto"/>
          <w:kern w:val="0"/>
          <w:highlight w:val="none"/>
        </w:rPr>
        <w:t>注：</w:t>
      </w:r>
      <w:r>
        <w:rPr>
          <w:color w:val="auto"/>
          <w:highlight w:val="none"/>
        </w:rPr>
        <w:t>1</w:t>
      </w:r>
      <w:r>
        <w:rPr>
          <w:rFonts w:hint="eastAsia"/>
          <w:color w:val="auto"/>
          <w:highlight w:val="none"/>
        </w:rPr>
        <w:t>、本表所要求的业绩标准，投标人必须在第六章第一卷资格审查表“（二）</w:t>
      </w:r>
      <w:r>
        <w:rPr>
          <w:color w:val="auto"/>
          <w:highlight w:val="none"/>
        </w:rPr>
        <w:t>2017</w:t>
      </w:r>
      <w:r>
        <w:rPr>
          <w:rFonts w:hint="eastAsia"/>
          <w:color w:val="auto"/>
          <w:highlight w:val="none"/>
        </w:rPr>
        <w:t>年7月</w:t>
      </w:r>
      <w:r>
        <w:rPr>
          <w:color w:val="auto"/>
          <w:highlight w:val="none"/>
        </w:rPr>
        <w:t>1</w:t>
      </w:r>
      <w:r>
        <w:rPr>
          <w:rFonts w:hint="eastAsia"/>
          <w:color w:val="auto"/>
          <w:highlight w:val="none"/>
        </w:rPr>
        <w:t>日以来完成的类似项目情况表设计业绩后附①初步设计批复文件或施工图设计批复文件或施工图准予行政许可决定书复印件；②合同协议书或中标通知书复印件。①和②两者缺一不可，否则业绩不予认可。</w:t>
      </w:r>
      <w:r>
        <w:rPr>
          <w:rFonts w:hint="eastAsia"/>
          <w:b/>
          <w:bCs/>
          <w:color w:val="auto"/>
          <w:highlight w:val="none"/>
        </w:rPr>
        <w:t>业绩时间认定以</w:t>
      </w:r>
      <w:r>
        <w:rPr>
          <w:rFonts w:hint="eastAsia"/>
          <w:color w:val="auto"/>
          <w:highlight w:val="none"/>
        </w:rPr>
        <w:t>初步设计批复文件或</w:t>
      </w:r>
      <w:r>
        <w:rPr>
          <w:rFonts w:hint="eastAsia"/>
          <w:b/>
          <w:bCs/>
          <w:color w:val="auto"/>
          <w:highlight w:val="none"/>
        </w:rPr>
        <w:t>施工图设计批复文件或施工图准予行政许可决定书中时间为准。</w:t>
      </w:r>
    </w:p>
    <w:p>
      <w:pPr>
        <w:autoSpaceDE w:val="0"/>
        <w:autoSpaceDN w:val="0"/>
        <w:adjustRightInd w:val="0"/>
        <w:spacing w:line="360" w:lineRule="auto"/>
        <w:jc w:val="left"/>
        <w:rPr>
          <w:rFonts w:cs="Times New Roman"/>
          <w:color w:val="auto"/>
          <w:kern w:val="0"/>
          <w:highlight w:val="none"/>
        </w:rPr>
      </w:pPr>
      <w:r>
        <w:rPr>
          <w:color w:val="auto"/>
          <w:highlight w:val="none"/>
        </w:rPr>
        <w:t>2</w:t>
      </w:r>
      <w:r>
        <w:rPr>
          <w:rFonts w:hint="eastAsia"/>
          <w:color w:val="auto"/>
          <w:highlight w:val="none"/>
        </w:rPr>
        <w:t>、</w:t>
      </w:r>
      <w:r>
        <w:rPr>
          <w:rFonts w:hint="eastAsia"/>
          <w:color w:val="auto"/>
          <w:kern w:val="0"/>
          <w:highlight w:val="none"/>
        </w:rPr>
        <w:t>工程规模的解释顺序为：</w:t>
      </w:r>
      <w:r>
        <w:rPr>
          <w:rFonts w:hint="eastAsia"/>
          <w:color w:val="auto"/>
          <w:highlight w:val="none"/>
        </w:rPr>
        <w:t>初步设计批复文件或</w:t>
      </w:r>
      <w:r>
        <w:rPr>
          <w:rFonts w:hint="eastAsia"/>
          <w:color w:val="auto"/>
          <w:kern w:val="0"/>
          <w:highlight w:val="none"/>
        </w:rPr>
        <w:t>施工图设计批复或施工图准予行政许可决定书、合同协议书或中标通知书。如</w:t>
      </w:r>
      <w:r>
        <w:rPr>
          <w:rFonts w:hint="eastAsia"/>
          <w:color w:val="auto"/>
          <w:highlight w:val="none"/>
        </w:rPr>
        <w:t>初步设计批复文件或</w:t>
      </w:r>
      <w:r>
        <w:rPr>
          <w:rFonts w:hint="eastAsia"/>
          <w:color w:val="auto"/>
          <w:kern w:val="0"/>
          <w:highlight w:val="none"/>
        </w:rPr>
        <w:t>施工图设计批复文件或准予行政许可决定书、合同协议书或中标通知书中均未体现工程规模、公路等级等内容的，必须附发包人或业主或项目所在地行业主管部门出具的业绩证明材料，该材料须体现工程规模、公路等级等并且满足上述业绩要求，否则业绩不予认可。</w:t>
      </w:r>
    </w:p>
    <w:p>
      <w:pPr>
        <w:autoSpaceDE w:val="0"/>
        <w:autoSpaceDN w:val="0"/>
        <w:adjustRightInd w:val="0"/>
        <w:spacing w:line="360" w:lineRule="auto"/>
        <w:jc w:val="left"/>
        <w:rPr>
          <w:rFonts w:cs="Times New Roman"/>
          <w:color w:val="auto"/>
          <w:kern w:val="0"/>
          <w:highlight w:val="none"/>
        </w:rPr>
      </w:pPr>
      <w:r>
        <w:rPr>
          <w:color w:val="auto"/>
          <w:kern w:val="0"/>
          <w:highlight w:val="none"/>
        </w:rPr>
        <w:t>3</w:t>
      </w:r>
      <w:r>
        <w:rPr>
          <w:rFonts w:hint="eastAsia"/>
          <w:color w:val="auto"/>
          <w:kern w:val="0"/>
          <w:highlight w:val="none"/>
        </w:rPr>
        <w:t>、合同协议书或中标通知书或与招标阶段相适应的设计通过审查的证明文件等的设计单位名称与投标人名称必须一致（发生合法变更或重组或法人名称变更时，应提供相关部门的合法批件或其他相关证明材料来证明其所附业绩的承继性），否则业绩不予认可。</w:t>
      </w:r>
    </w:p>
    <w:p>
      <w:pPr>
        <w:autoSpaceDE w:val="0"/>
        <w:autoSpaceDN w:val="0"/>
        <w:adjustRightInd w:val="0"/>
        <w:spacing w:line="360" w:lineRule="auto"/>
        <w:jc w:val="left"/>
        <w:rPr>
          <w:rFonts w:cs="Times New Roman"/>
          <w:color w:val="auto"/>
          <w:kern w:val="0"/>
          <w:highlight w:val="none"/>
        </w:rPr>
      </w:pPr>
    </w:p>
    <w:p>
      <w:pPr>
        <w:autoSpaceDE w:val="0"/>
        <w:autoSpaceDN w:val="0"/>
        <w:adjustRightInd w:val="0"/>
        <w:spacing w:line="360" w:lineRule="auto"/>
        <w:jc w:val="left"/>
        <w:rPr>
          <w:rFonts w:cs="Times New Roman"/>
          <w:color w:val="auto"/>
          <w:kern w:val="0"/>
          <w:highlight w:val="none"/>
        </w:rPr>
      </w:pPr>
    </w:p>
    <w:p>
      <w:pPr>
        <w:autoSpaceDE w:val="0"/>
        <w:autoSpaceDN w:val="0"/>
        <w:adjustRightInd w:val="0"/>
        <w:spacing w:line="360" w:lineRule="auto"/>
        <w:jc w:val="left"/>
        <w:rPr>
          <w:rFonts w:cs="Times New Roman"/>
          <w:color w:val="auto"/>
          <w:kern w:val="0"/>
          <w:highlight w:val="none"/>
        </w:rPr>
      </w:pPr>
    </w:p>
    <w:p>
      <w:pPr>
        <w:autoSpaceDE w:val="0"/>
        <w:autoSpaceDN w:val="0"/>
        <w:adjustRightInd w:val="0"/>
        <w:spacing w:line="360" w:lineRule="auto"/>
        <w:jc w:val="left"/>
        <w:rPr>
          <w:rFonts w:cs="Times New Roman"/>
          <w:color w:val="auto"/>
          <w:kern w:val="0"/>
          <w:highlight w:val="none"/>
        </w:rPr>
      </w:pPr>
    </w:p>
    <w:p>
      <w:pPr>
        <w:autoSpaceDE w:val="0"/>
        <w:autoSpaceDN w:val="0"/>
        <w:adjustRightInd w:val="0"/>
        <w:spacing w:line="360" w:lineRule="auto"/>
        <w:jc w:val="left"/>
        <w:rPr>
          <w:rFonts w:cs="Times New Roman"/>
          <w:color w:val="auto"/>
          <w:kern w:val="0"/>
          <w:highlight w:val="none"/>
        </w:rPr>
      </w:pPr>
    </w:p>
    <w:p>
      <w:pPr>
        <w:pStyle w:val="2"/>
        <w:rPr>
          <w:rFonts w:cs="Times New Roman"/>
          <w:color w:val="auto"/>
          <w:kern w:val="0"/>
          <w:highlight w:val="none"/>
        </w:rPr>
      </w:pPr>
    </w:p>
    <w:p>
      <w:pPr>
        <w:pStyle w:val="2"/>
        <w:rPr>
          <w:rFonts w:cs="Times New Roman"/>
          <w:color w:val="auto"/>
          <w:kern w:val="0"/>
          <w:highlight w:val="none"/>
        </w:rPr>
      </w:pPr>
    </w:p>
    <w:p>
      <w:pPr>
        <w:autoSpaceDE w:val="0"/>
        <w:autoSpaceDN w:val="0"/>
        <w:adjustRightInd w:val="0"/>
        <w:spacing w:line="360" w:lineRule="auto"/>
        <w:jc w:val="left"/>
        <w:rPr>
          <w:rFonts w:cs="Times New Roman"/>
          <w:color w:val="auto"/>
          <w:kern w:val="0"/>
          <w:highlight w:val="none"/>
        </w:rPr>
      </w:pPr>
    </w:p>
    <w:p>
      <w:pPr>
        <w:autoSpaceDE w:val="0"/>
        <w:autoSpaceDN w:val="0"/>
        <w:adjustRightInd w:val="0"/>
        <w:spacing w:line="360" w:lineRule="auto"/>
        <w:jc w:val="left"/>
        <w:rPr>
          <w:rFonts w:cs="Times New Roman"/>
          <w:color w:val="auto"/>
          <w:kern w:val="0"/>
          <w:highlight w:val="none"/>
        </w:rPr>
      </w:pPr>
    </w:p>
    <w:p>
      <w:pPr>
        <w:autoSpaceDE w:val="0"/>
        <w:autoSpaceDN w:val="0"/>
        <w:adjustRightInd w:val="0"/>
        <w:spacing w:line="360" w:lineRule="auto"/>
        <w:jc w:val="left"/>
        <w:rPr>
          <w:rFonts w:cs="Times New Roman"/>
          <w:color w:val="auto"/>
          <w:kern w:val="0"/>
          <w:highlight w:val="none"/>
        </w:rPr>
      </w:pPr>
    </w:p>
    <w:p>
      <w:pPr>
        <w:jc w:val="center"/>
        <w:rPr>
          <w:rFonts w:hint="eastAsia"/>
          <w:color w:val="auto"/>
          <w:sz w:val="28"/>
          <w:szCs w:val="28"/>
          <w:highlight w:val="none"/>
        </w:rPr>
      </w:pPr>
      <w:bookmarkStart w:id="39" w:name="_Toc93952196"/>
      <w:r>
        <w:rPr>
          <w:rFonts w:hint="eastAsia"/>
          <w:color w:val="auto"/>
          <w:sz w:val="28"/>
          <w:szCs w:val="28"/>
          <w:highlight w:val="none"/>
        </w:rPr>
        <w:t>附录3  资格审查条件（主要人员最低要求）</w:t>
      </w:r>
      <w:bookmarkEnd w:id="39"/>
    </w:p>
    <w:p>
      <w:pPr>
        <w:spacing w:line="420" w:lineRule="exact"/>
        <w:jc w:val="center"/>
        <w:rPr>
          <w:rFonts w:cs="Times New Roman"/>
          <w:b/>
          <w:bCs/>
          <w:color w:val="auto"/>
          <w:sz w:val="32"/>
          <w:szCs w:val="32"/>
          <w:highlight w:val="none"/>
        </w:rPr>
      </w:pPr>
      <w:bookmarkStart w:id="40" w:name="_Toc19970"/>
      <w:bookmarkStart w:id="41" w:name="_Toc284866238"/>
      <w:bookmarkStart w:id="42" w:name="_Toc239671839"/>
      <w:bookmarkStart w:id="43" w:name="_Toc19049"/>
      <w:bookmarkStart w:id="44" w:name="_Toc19847"/>
      <w:bookmarkStart w:id="45" w:name="_Toc10875"/>
      <w:bookmarkStart w:id="46" w:name="_Toc16258"/>
    </w:p>
    <w:tbl>
      <w:tblPr>
        <w:tblStyle w:val="8"/>
        <w:tblW w:w="9062" w:type="dxa"/>
        <w:jc w:val="center"/>
        <w:tblLayout w:type="fixed"/>
        <w:tblCellMar>
          <w:top w:w="0" w:type="dxa"/>
          <w:left w:w="108" w:type="dxa"/>
          <w:bottom w:w="0" w:type="dxa"/>
          <w:right w:w="108" w:type="dxa"/>
        </w:tblCellMar>
      </w:tblPr>
      <w:tblGrid>
        <w:gridCol w:w="2286"/>
        <w:gridCol w:w="1112"/>
        <w:gridCol w:w="5664"/>
      </w:tblGrid>
      <w:tr>
        <w:tblPrEx>
          <w:tblCellMar>
            <w:top w:w="0" w:type="dxa"/>
            <w:left w:w="108" w:type="dxa"/>
            <w:bottom w:w="0" w:type="dxa"/>
            <w:right w:w="108" w:type="dxa"/>
          </w:tblCellMar>
        </w:tblPrEx>
        <w:trPr>
          <w:trHeight w:val="555" w:hRule="atLeast"/>
          <w:jc w:val="center"/>
        </w:trPr>
        <w:tc>
          <w:tcPr>
            <w:tcW w:w="2286" w:type="dxa"/>
            <w:tcBorders>
              <w:top w:val="single" w:color="000000" w:sz="12" w:space="0"/>
              <w:left w:val="single" w:color="000000" w:sz="12" w:space="0"/>
              <w:bottom w:val="single" w:color="000000" w:sz="6" w:space="0"/>
              <w:right w:val="single" w:color="000000" w:sz="4" w:space="0"/>
            </w:tcBorders>
            <w:noWrap w:val="0"/>
            <w:vAlign w:val="center"/>
          </w:tcPr>
          <w:p>
            <w:pPr>
              <w:pStyle w:val="10"/>
              <w:jc w:val="center"/>
              <w:rPr>
                <w:rFonts w:cs="Times New Roman"/>
                <w:color w:val="auto"/>
                <w:kern w:val="2"/>
                <w:sz w:val="21"/>
                <w:szCs w:val="21"/>
                <w:highlight w:val="none"/>
              </w:rPr>
            </w:pPr>
            <w:r>
              <w:rPr>
                <w:rFonts w:hint="eastAsia"/>
                <w:b/>
                <w:bCs/>
                <w:color w:val="auto"/>
                <w:kern w:val="2"/>
                <w:sz w:val="21"/>
                <w:szCs w:val="21"/>
                <w:highlight w:val="none"/>
              </w:rPr>
              <w:t>人员</w:t>
            </w:r>
          </w:p>
        </w:tc>
        <w:tc>
          <w:tcPr>
            <w:tcW w:w="1112" w:type="dxa"/>
            <w:tcBorders>
              <w:top w:val="single" w:color="000000" w:sz="12" w:space="0"/>
              <w:left w:val="single" w:color="000000" w:sz="4" w:space="0"/>
              <w:bottom w:val="single" w:color="000000" w:sz="6" w:space="0"/>
              <w:right w:val="single" w:color="000000" w:sz="4" w:space="0"/>
            </w:tcBorders>
            <w:noWrap w:val="0"/>
            <w:vAlign w:val="center"/>
          </w:tcPr>
          <w:p>
            <w:pPr>
              <w:pStyle w:val="10"/>
              <w:jc w:val="center"/>
              <w:rPr>
                <w:rFonts w:cs="Times New Roman"/>
                <w:color w:val="auto"/>
                <w:kern w:val="2"/>
                <w:sz w:val="21"/>
                <w:szCs w:val="21"/>
                <w:highlight w:val="none"/>
              </w:rPr>
            </w:pPr>
            <w:r>
              <w:rPr>
                <w:rFonts w:hint="eastAsia"/>
                <w:b/>
                <w:bCs/>
                <w:color w:val="auto"/>
                <w:kern w:val="2"/>
                <w:sz w:val="21"/>
                <w:szCs w:val="21"/>
                <w:highlight w:val="none"/>
              </w:rPr>
              <w:t>数量</w:t>
            </w:r>
          </w:p>
        </w:tc>
        <w:tc>
          <w:tcPr>
            <w:tcW w:w="5664" w:type="dxa"/>
            <w:tcBorders>
              <w:top w:val="single" w:color="000000" w:sz="12" w:space="0"/>
              <w:left w:val="single" w:color="000000" w:sz="4" w:space="0"/>
              <w:bottom w:val="single" w:color="000000" w:sz="6" w:space="0"/>
              <w:right w:val="single" w:color="000000" w:sz="12" w:space="0"/>
            </w:tcBorders>
            <w:noWrap w:val="0"/>
            <w:vAlign w:val="center"/>
          </w:tcPr>
          <w:p>
            <w:pPr>
              <w:pStyle w:val="10"/>
              <w:jc w:val="center"/>
              <w:rPr>
                <w:rFonts w:cs="Times New Roman"/>
                <w:color w:val="auto"/>
                <w:kern w:val="2"/>
                <w:sz w:val="21"/>
                <w:szCs w:val="21"/>
                <w:highlight w:val="none"/>
              </w:rPr>
            </w:pPr>
            <w:r>
              <w:rPr>
                <w:rFonts w:hint="eastAsia"/>
                <w:b/>
                <w:bCs/>
                <w:color w:val="auto"/>
                <w:kern w:val="2"/>
                <w:sz w:val="21"/>
                <w:szCs w:val="21"/>
                <w:highlight w:val="none"/>
              </w:rPr>
              <w:t>资格要求</w:t>
            </w:r>
          </w:p>
        </w:tc>
      </w:tr>
      <w:tr>
        <w:tblPrEx>
          <w:tblCellMar>
            <w:top w:w="0" w:type="dxa"/>
            <w:left w:w="108" w:type="dxa"/>
            <w:bottom w:w="0" w:type="dxa"/>
            <w:right w:w="108" w:type="dxa"/>
          </w:tblCellMar>
        </w:tblPrEx>
        <w:trPr>
          <w:trHeight w:val="1530" w:hRule="atLeast"/>
          <w:jc w:val="center"/>
        </w:trPr>
        <w:tc>
          <w:tcPr>
            <w:tcW w:w="2286" w:type="dxa"/>
            <w:tcBorders>
              <w:top w:val="single" w:color="000000" w:sz="6" w:space="0"/>
              <w:left w:val="single" w:color="000000" w:sz="12"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rFonts w:hint="eastAsia"/>
                <w:color w:val="auto"/>
                <w:kern w:val="0"/>
                <w:highlight w:val="none"/>
              </w:rPr>
              <w:t>项目负责人</w:t>
            </w:r>
          </w:p>
        </w:tc>
        <w:tc>
          <w:tcPr>
            <w:tcW w:w="1112"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auto"/>
              <w:jc w:val="center"/>
              <w:rPr>
                <w:color w:val="auto"/>
                <w:highlight w:val="none"/>
              </w:rPr>
            </w:pPr>
            <w:r>
              <w:rPr>
                <w:color w:val="auto"/>
                <w:highlight w:val="none"/>
              </w:rPr>
              <w:t>1</w:t>
            </w:r>
          </w:p>
        </w:tc>
        <w:tc>
          <w:tcPr>
            <w:tcW w:w="5664" w:type="dxa"/>
            <w:tcBorders>
              <w:top w:val="single" w:color="000000" w:sz="6" w:space="0"/>
              <w:left w:val="single" w:color="000000" w:sz="4" w:space="0"/>
              <w:bottom w:val="single" w:color="000000" w:sz="6" w:space="0"/>
              <w:right w:val="single" w:color="000000" w:sz="12" w:space="0"/>
            </w:tcBorders>
            <w:noWrap w:val="0"/>
            <w:vAlign w:val="center"/>
          </w:tcPr>
          <w:p>
            <w:pPr>
              <w:spacing w:line="320" w:lineRule="exact"/>
              <w:rPr>
                <w:rFonts w:cs="Times New Roman"/>
                <w:color w:val="auto"/>
                <w:highlight w:val="none"/>
              </w:rPr>
            </w:pPr>
            <w:r>
              <w:rPr>
                <w:rFonts w:hint="eastAsia"/>
                <w:color w:val="auto"/>
                <w:highlight w:val="none"/>
              </w:rPr>
              <w:t>具有公路工程相关专业高级工程师及以上职称，担任过一级及以上公路新建（或改建或扩建）工程</w:t>
            </w:r>
            <w:r>
              <w:rPr>
                <w:rFonts w:hint="eastAsia"/>
                <w:color w:val="auto"/>
                <w:kern w:val="0"/>
                <w:highlight w:val="none"/>
              </w:rPr>
              <w:t>（含连续桥梁长度在</w:t>
            </w:r>
            <w:r>
              <w:rPr>
                <w:color w:val="auto"/>
                <w:kern w:val="0"/>
                <w:highlight w:val="none"/>
              </w:rPr>
              <w:t>3</w:t>
            </w:r>
            <w:r>
              <w:rPr>
                <w:rFonts w:hint="eastAsia"/>
                <w:color w:val="auto"/>
                <w:kern w:val="0"/>
                <w:highlight w:val="none"/>
              </w:rPr>
              <w:t>公里及以上）</w:t>
            </w:r>
            <w:r>
              <w:rPr>
                <w:rFonts w:hint="eastAsia"/>
                <w:color w:val="auto"/>
                <w:highlight w:val="none"/>
              </w:rPr>
              <w:t>设计（或设计咨询或设计初审）的项目负责人；自</w:t>
            </w:r>
            <w:r>
              <w:rPr>
                <w:color w:val="auto"/>
                <w:highlight w:val="none"/>
              </w:rPr>
              <w:t>2019</w:t>
            </w:r>
            <w:r>
              <w:rPr>
                <w:rFonts w:hint="eastAsia"/>
                <w:color w:val="auto"/>
                <w:highlight w:val="none"/>
              </w:rPr>
              <w:t>年7月</w:t>
            </w:r>
            <w:r>
              <w:rPr>
                <w:color w:val="auto"/>
                <w:highlight w:val="none"/>
              </w:rPr>
              <w:t>1</w:t>
            </w:r>
            <w:r>
              <w:rPr>
                <w:rFonts w:hint="eastAsia"/>
                <w:color w:val="auto"/>
                <w:highlight w:val="none"/>
              </w:rPr>
              <w:t>日以来无行贿犯罪行为。</w:t>
            </w:r>
          </w:p>
        </w:tc>
      </w:tr>
      <w:tr>
        <w:tblPrEx>
          <w:tblCellMar>
            <w:top w:w="0" w:type="dxa"/>
            <w:left w:w="108" w:type="dxa"/>
            <w:bottom w:w="0" w:type="dxa"/>
            <w:right w:w="108" w:type="dxa"/>
          </w:tblCellMar>
        </w:tblPrEx>
        <w:trPr>
          <w:trHeight w:val="567" w:hRule="atLeast"/>
          <w:jc w:val="center"/>
        </w:trPr>
        <w:tc>
          <w:tcPr>
            <w:tcW w:w="2286" w:type="dxa"/>
            <w:tcBorders>
              <w:top w:val="single" w:color="000000" w:sz="6" w:space="0"/>
              <w:left w:val="single" w:color="000000" w:sz="12"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rFonts w:hint="eastAsia"/>
                <w:color w:val="auto"/>
                <w:highlight w:val="none"/>
              </w:rPr>
              <w:t>路线分项负责人</w:t>
            </w:r>
          </w:p>
        </w:tc>
        <w:tc>
          <w:tcPr>
            <w:tcW w:w="1112"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color w:val="auto"/>
                <w:highlight w:val="none"/>
              </w:rPr>
              <w:t>1</w:t>
            </w:r>
          </w:p>
        </w:tc>
        <w:tc>
          <w:tcPr>
            <w:tcW w:w="5664" w:type="dxa"/>
            <w:tcBorders>
              <w:top w:val="single" w:color="000000" w:sz="6" w:space="0"/>
              <w:left w:val="single" w:color="000000" w:sz="4" w:space="0"/>
              <w:bottom w:val="single" w:color="000000" w:sz="6" w:space="0"/>
              <w:right w:val="single" w:color="000000" w:sz="12" w:space="0"/>
            </w:tcBorders>
            <w:noWrap w:val="0"/>
            <w:vAlign w:val="center"/>
          </w:tcPr>
          <w:p>
            <w:pPr>
              <w:spacing w:line="320" w:lineRule="exact"/>
              <w:rPr>
                <w:rFonts w:cs="Times New Roman"/>
                <w:color w:val="auto"/>
                <w:highlight w:val="none"/>
              </w:rPr>
            </w:pPr>
            <w:r>
              <w:rPr>
                <w:rFonts w:hint="eastAsia"/>
                <w:color w:val="auto"/>
                <w:highlight w:val="none"/>
              </w:rPr>
              <w:t>具有公路工程相关专业高级工程师及以上技术职称。</w:t>
            </w:r>
          </w:p>
        </w:tc>
      </w:tr>
      <w:tr>
        <w:tblPrEx>
          <w:tblCellMar>
            <w:top w:w="0" w:type="dxa"/>
            <w:left w:w="108" w:type="dxa"/>
            <w:bottom w:w="0" w:type="dxa"/>
            <w:right w:w="108" w:type="dxa"/>
          </w:tblCellMar>
        </w:tblPrEx>
        <w:trPr>
          <w:trHeight w:val="567" w:hRule="atLeast"/>
          <w:jc w:val="center"/>
        </w:trPr>
        <w:tc>
          <w:tcPr>
            <w:tcW w:w="2286" w:type="dxa"/>
            <w:tcBorders>
              <w:top w:val="single" w:color="000000" w:sz="6" w:space="0"/>
              <w:left w:val="single" w:color="000000" w:sz="12"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rFonts w:hint="eastAsia"/>
                <w:color w:val="auto"/>
                <w:highlight w:val="none"/>
              </w:rPr>
              <w:t>路基路面分项负责人</w:t>
            </w:r>
          </w:p>
        </w:tc>
        <w:tc>
          <w:tcPr>
            <w:tcW w:w="1112"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color w:val="auto"/>
                <w:highlight w:val="none"/>
              </w:rPr>
              <w:t>1</w:t>
            </w:r>
          </w:p>
        </w:tc>
        <w:tc>
          <w:tcPr>
            <w:tcW w:w="5664" w:type="dxa"/>
            <w:tcBorders>
              <w:top w:val="single" w:color="000000" w:sz="6" w:space="0"/>
              <w:left w:val="single" w:color="000000" w:sz="4" w:space="0"/>
              <w:bottom w:val="single" w:color="000000" w:sz="6" w:space="0"/>
              <w:right w:val="single" w:color="000000" w:sz="12" w:space="0"/>
            </w:tcBorders>
            <w:noWrap w:val="0"/>
            <w:vAlign w:val="center"/>
          </w:tcPr>
          <w:p>
            <w:pPr>
              <w:spacing w:line="320" w:lineRule="exact"/>
              <w:rPr>
                <w:rFonts w:cs="Times New Roman"/>
                <w:color w:val="auto"/>
                <w:highlight w:val="none"/>
              </w:rPr>
            </w:pPr>
            <w:r>
              <w:rPr>
                <w:rFonts w:hint="eastAsia"/>
                <w:color w:val="auto"/>
                <w:highlight w:val="none"/>
              </w:rPr>
              <w:t>具有公路工程相关专业高级工程师及以上技术职称。</w:t>
            </w:r>
          </w:p>
        </w:tc>
      </w:tr>
      <w:tr>
        <w:tblPrEx>
          <w:tblCellMar>
            <w:top w:w="0" w:type="dxa"/>
            <w:left w:w="108" w:type="dxa"/>
            <w:bottom w:w="0" w:type="dxa"/>
            <w:right w:w="108" w:type="dxa"/>
          </w:tblCellMar>
        </w:tblPrEx>
        <w:trPr>
          <w:trHeight w:val="567" w:hRule="atLeast"/>
          <w:jc w:val="center"/>
        </w:trPr>
        <w:tc>
          <w:tcPr>
            <w:tcW w:w="2286" w:type="dxa"/>
            <w:tcBorders>
              <w:top w:val="single" w:color="000000" w:sz="6" w:space="0"/>
              <w:left w:val="single" w:color="000000" w:sz="12"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rFonts w:hint="eastAsia"/>
                <w:color w:val="auto"/>
                <w:highlight w:val="none"/>
              </w:rPr>
              <w:t>桥涵分项负责人</w:t>
            </w:r>
          </w:p>
        </w:tc>
        <w:tc>
          <w:tcPr>
            <w:tcW w:w="1112"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color w:val="auto"/>
                <w:highlight w:val="none"/>
              </w:rPr>
              <w:t>1</w:t>
            </w:r>
          </w:p>
        </w:tc>
        <w:tc>
          <w:tcPr>
            <w:tcW w:w="5664" w:type="dxa"/>
            <w:tcBorders>
              <w:top w:val="single" w:color="000000" w:sz="6" w:space="0"/>
              <w:left w:val="single" w:color="000000" w:sz="4" w:space="0"/>
              <w:bottom w:val="single" w:color="000000" w:sz="6" w:space="0"/>
              <w:right w:val="single" w:color="000000" w:sz="12" w:space="0"/>
            </w:tcBorders>
            <w:noWrap w:val="0"/>
            <w:vAlign w:val="center"/>
          </w:tcPr>
          <w:p>
            <w:pPr>
              <w:spacing w:line="320" w:lineRule="exact"/>
              <w:rPr>
                <w:rFonts w:cs="Times New Roman"/>
                <w:color w:val="auto"/>
                <w:highlight w:val="none"/>
              </w:rPr>
            </w:pPr>
            <w:r>
              <w:rPr>
                <w:rFonts w:hint="eastAsia"/>
                <w:color w:val="auto"/>
                <w:highlight w:val="none"/>
              </w:rPr>
              <w:t>具有公路工程相关专业高级工程师及以上技术职称。</w:t>
            </w:r>
          </w:p>
        </w:tc>
      </w:tr>
      <w:tr>
        <w:tblPrEx>
          <w:tblCellMar>
            <w:top w:w="0" w:type="dxa"/>
            <w:left w:w="108" w:type="dxa"/>
            <w:bottom w:w="0" w:type="dxa"/>
            <w:right w:w="108" w:type="dxa"/>
          </w:tblCellMar>
        </w:tblPrEx>
        <w:trPr>
          <w:trHeight w:val="567" w:hRule="atLeast"/>
          <w:jc w:val="center"/>
        </w:trPr>
        <w:tc>
          <w:tcPr>
            <w:tcW w:w="2286" w:type="dxa"/>
            <w:tcBorders>
              <w:top w:val="single" w:color="000000" w:sz="6" w:space="0"/>
              <w:left w:val="single" w:color="000000" w:sz="12" w:space="0"/>
              <w:bottom w:val="single" w:color="000000" w:sz="6" w:space="0"/>
              <w:right w:val="single" w:color="000000" w:sz="4" w:space="0"/>
            </w:tcBorders>
            <w:noWrap w:val="0"/>
            <w:vAlign w:val="center"/>
          </w:tcPr>
          <w:p>
            <w:pPr>
              <w:pStyle w:val="11"/>
              <w:spacing w:line="300" w:lineRule="auto"/>
              <w:jc w:val="center"/>
              <w:rPr>
                <w:rFonts w:ascii="宋体"/>
                <w:color w:val="auto"/>
                <w:highlight w:val="none"/>
              </w:rPr>
            </w:pPr>
            <w:r>
              <w:rPr>
                <w:rFonts w:hint="eastAsia" w:ascii="宋体" w:hAnsi="宋体" w:cs="宋体"/>
                <w:color w:val="auto"/>
                <w:highlight w:val="none"/>
              </w:rPr>
              <w:t>路线交叉分项负责人</w:t>
            </w:r>
          </w:p>
        </w:tc>
        <w:tc>
          <w:tcPr>
            <w:tcW w:w="1112" w:type="dxa"/>
            <w:tcBorders>
              <w:top w:val="single" w:color="000000" w:sz="6" w:space="0"/>
              <w:left w:val="single" w:color="000000" w:sz="4" w:space="0"/>
              <w:bottom w:val="single" w:color="000000" w:sz="6" w:space="0"/>
              <w:right w:val="single" w:color="000000" w:sz="4" w:space="0"/>
            </w:tcBorders>
            <w:noWrap w:val="0"/>
            <w:vAlign w:val="center"/>
          </w:tcPr>
          <w:p>
            <w:pPr>
              <w:pStyle w:val="11"/>
              <w:jc w:val="center"/>
              <w:rPr>
                <w:rFonts w:ascii="宋体"/>
                <w:color w:val="auto"/>
                <w:highlight w:val="none"/>
              </w:rPr>
            </w:pPr>
            <w:r>
              <w:rPr>
                <w:rFonts w:ascii="宋体" w:hAnsi="宋体" w:cs="宋体"/>
                <w:color w:val="auto"/>
                <w:highlight w:val="none"/>
              </w:rPr>
              <w:t>1</w:t>
            </w:r>
          </w:p>
        </w:tc>
        <w:tc>
          <w:tcPr>
            <w:tcW w:w="5664" w:type="dxa"/>
            <w:tcBorders>
              <w:top w:val="single" w:color="000000" w:sz="6" w:space="0"/>
              <w:left w:val="single" w:color="000000" w:sz="4" w:space="0"/>
              <w:bottom w:val="single" w:color="000000" w:sz="6" w:space="0"/>
              <w:right w:val="single" w:color="000000" w:sz="12" w:space="0"/>
            </w:tcBorders>
            <w:noWrap w:val="0"/>
            <w:vAlign w:val="center"/>
          </w:tcPr>
          <w:p>
            <w:pPr>
              <w:pStyle w:val="11"/>
              <w:spacing w:line="320" w:lineRule="exact"/>
              <w:rPr>
                <w:rFonts w:ascii="宋体"/>
                <w:color w:val="auto"/>
                <w:highlight w:val="none"/>
              </w:rPr>
            </w:pPr>
            <w:r>
              <w:rPr>
                <w:rFonts w:hint="eastAsia" w:ascii="宋体" w:hAnsi="宋体" w:cs="宋体"/>
                <w:color w:val="auto"/>
                <w:highlight w:val="none"/>
              </w:rPr>
              <w:t>具有公路工程相关专业高级工程师及以上技术职称。</w:t>
            </w:r>
          </w:p>
        </w:tc>
      </w:tr>
      <w:tr>
        <w:tblPrEx>
          <w:tblCellMar>
            <w:top w:w="0" w:type="dxa"/>
            <w:left w:w="108" w:type="dxa"/>
            <w:bottom w:w="0" w:type="dxa"/>
            <w:right w:w="108" w:type="dxa"/>
          </w:tblCellMar>
        </w:tblPrEx>
        <w:trPr>
          <w:trHeight w:val="567" w:hRule="atLeast"/>
          <w:jc w:val="center"/>
        </w:trPr>
        <w:tc>
          <w:tcPr>
            <w:tcW w:w="2286" w:type="dxa"/>
            <w:tcBorders>
              <w:top w:val="single" w:color="000000" w:sz="6" w:space="0"/>
              <w:left w:val="single" w:color="000000" w:sz="12"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rFonts w:hint="eastAsia"/>
                <w:color w:val="auto"/>
                <w:highlight w:val="none"/>
              </w:rPr>
              <w:t>交通工程分项负责人</w:t>
            </w:r>
          </w:p>
        </w:tc>
        <w:tc>
          <w:tcPr>
            <w:tcW w:w="1112"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color w:val="auto"/>
                <w:highlight w:val="none"/>
              </w:rPr>
              <w:t>1</w:t>
            </w:r>
          </w:p>
        </w:tc>
        <w:tc>
          <w:tcPr>
            <w:tcW w:w="5664" w:type="dxa"/>
            <w:tcBorders>
              <w:top w:val="single" w:color="000000" w:sz="6" w:space="0"/>
              <w:left w:val="single" w:color="000000" w:sz="4" w:space="0"/>
              <w:bottom w:val="single" w:color="000000" w:sz="6" w:space="0"/>
              <w:right w:val="single" w:color="000000" w:sz="12" w:space="0"/>
            </w:tcBorders>
            <w:noWrap w:val="0"/>
            <w:vAlign w:val="center"/>
          </w:tcPr>
          <w:p>
            <w:pPr>
              <w:spacing w:line="320" w:lineRule="exact"/>
              <w:rPr>
                <w:rFonts w:cs="Times New Roman"/>
                <w:color w:val="auto"/>
                <w:highlight w:val="none"/>
              </w:rPr>
            </w:pPr>
            <w:r>
              <w:rPr>
                <w:rFonts w:hint="eastAsia"/>
                <w:color w:val="auto"/>
                <w:highlight w:val="none"/>
              </w:rPr>
              <w:t>具有公路工程相关专业高级工程师及以上技术职称。</w:t>
            </w:r>
          </w:p>
        </w:tc>
      </w:tr>
      <w:tr>
        <w:tblPrEx>
          <w:tblCellMar>
            <w:top w:w="0" w:type="dxa"/>
            <w:left w:w="108" w:type="dxa"/>
            <w:bottom w:w="0" w:type="dxa"/>
            <w:right w:w="108" w:type="dxa"/>
          </w:tblCellMar>
        </w:tblPrEx>
        <w:trPr>
          <w:trHeight w:val="1134" w:hRule="atLeast"/>
          <w:jc w:val="center"/>
        </w:trPr>
        <w:tc>
          <w:tcPr>
            <w:tcW w:w="2286" w:type="dxa"/>
            <w:tcBorders>
              <w:top w:val="single" w:color="000000" w:sz="6" w:space="0"/>
              <w:left w:val="single" w:color="000000" w:sz="12"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rFonts w:hint="eastAsia"/>
                <w:color w:val="auto"/>
                <w:highlight w:val="none"/>
              </w:rPr>
              <w:t>工程造价分项负责人</w:t>
            </w:r>
          </w:p>
        </w:tc>
        <w:tc>
          <w:tcPr>
            <w:tcW w:w="1112"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auto"/>
              <w:jc w:val="center"/>
              <w:rPr>
                <w:rFonts w:cs="Times New Roman"/>
                <w:color w:val="auto"/>
                <w:highlight w:val="none"/>
              </w:rPr>
            </w:pPr>
            <w:r>
              <w:rPr>
                <w:color w:val="auto"/>
                <w:highlight w:val="none"/>
              </w:rPr>
              <w:t>1</w:t>
            </w:r>
          </w:p>
        </w:tc>
        <w:tc>
          <w:tcPr>
            <w:tcW w:w="5664" w:type="dxa"/>
            <w:tcBorders>
              <w:top w:val="single" w:color="000000" w:sz="6" w:space="0"/>
              <w:left w:val="single" w:color="000000" w:sz="4" w:space="0"/>
              <w:bottom w:val="single" w:color="000000" w:sz="6" w:space="0"/>
              <w:right w:val="single" w:color="000000" w:sz="12" w:space="0"/>
            </w:tcBorders>
            <w:noWrap w:val="0"/>
            <w:vAlign w:val="center"/>
          </w:tcPr>
          <w:p>
            <w:pPr>
              <w:spacing w:line="320" w:lineRule="exact"/>
              <w:rPr>
                <w:rFonts w:cs="Times New Roman"/>
                <w:color w:val="auto"/>
                <w:highlight w:val="none"/>
              </w:rPr>
            </w:pPr>
            <w:r>
              <w:rPr>
                <w:rFonts w:hint="eastAsia"/>
                <w:color w:val="auto"/>
                <w:highlight w:val="none"/>
              </w:rPr>
              <w:t>具有工程师及以上职称，并具有交通运输部公路工程造价甲级资格证书或注册造价工程师证书或一级注册造价工程师。</w:t>
            </w:r>
          </w:p>
        </w:tc>
      </w:tr>
    </w:tbl>
    <w:p>
      <w:pPr>
        <w:widowControl/>
        <w:spacing w:line="276" w:lineRule="auto"/>
        <w:jc w:val="left"/>
        <w:rPr>
          <w:rFonts w:cs="Times New Roman"/>
          <w:color w:val="auto"/>
          <w:highlight w:val="none"/>
        </w:rPr>
      </w:pPr>
      <w:r>
        <w:rPr>
          <w:rFonts w:hint="eastAsia"/>
          <w:color w:val="auto"/>
          <w:highlight w:val="none"/>
        </w:rPr>
        <w:t>注：</w:t>
      </w:r>
      <w:r>
        <w:rPr>
          <w:color w:val="auto"/>
          <w:highlight w:val="none"/>
        </w:rPr>
        <w:t>1</w:t>
      </w:r>
      <w:r>
        <w:rPr>
          <w:rFonts w:hint="eastAsia"/>
          <w:color w:val="auto"/>
          <w:highlight w:val="none"/>
        </w:rPr>
        <w:t>、对主要人员有业绩要求的，应出具相应业绩证明材料：</w:t>
      </w:r>
      <w:r>
        <w:rPr>
          <w:rFonts w:hint="eastAsia"/>
          <w:color w:val="auto"/>
          <w:kern w:val="0"/>
          <w:highlight w:val="none"/>
        </w:rPr>
        <w:t>中标通知书或合同协议书或初步设计批复文件或施工图批复文件或准予行政许可决定书复印件；项目业绩证明材料中未出现姓名、任职或工程规模等内容的，还需提供发包人或业主或</w:t>
      </w:r>
      <w:r>
        <w:rPr>
          <w:rFonts w:hint="eastAsia"/>
          <w:color w:val="auto"/>
          <w:highlight w:val="none"/>
        </w:rPr>
        <w:t>项目所在地行业主管部门出具的证明</w:t>
      </w:r>
      <w:r>
        <w:rPr>
          <w:rFonts w:hint="eastAsia"/>
          <w:color w:val="auto"/>
          <w:kern w:val="0"/>
          <w:highlight w:val="none"/>
        </w:rPr>
        <w:t>材料</w:t>
      </w:r>
      <w:r>
        <w:rPr>
          <w:rFonts w:hint="eastAsia"/>
          <w:color w:val="auto"/>
          <w:highlight w:val="none"/>
        </w:rPr>
        <w:t>。</w:t>
      </w:r>
    </w:p>
    <w:p>
      <w:pPr>
        <w:widowControl/>
        <w:spacing w:line="276" w:lineRule="auto"/>
        <w:jc w:val="left"/>
        <w:rPr>
          <w:rFonts w:cs="Times New Roman"/>
          <w:color w:val="auto"/>
          <w:highlight w:val="none"/>
        </w:rPr>
      </w:pPr>
      <w:r>
        <w:rPr>
          <w:color w:val="auto"/>
          <w:highlight w:val="none"/>
        </w:rPr>
        <w:t>2</w:t>
      </w:r>
      <w:r>
        <w:rPr>
          <w:rFonts w:hint="eastAsia"/>
          <w:color w:val="auto"/>
          <w:highlight w:val="none"/>
        </w:rPr>
        <w:t>、投标人必须在第六章第一卷资格审查表</w:t>
      </w:r>
      <w:r>
        <w:rPr>
          <w:rFonts w:hint="eastAsia"/>
          <w:b/>
          <w:bCs/>
          <w:color w:val="auto"/>
          <w:highlight w:val="none"/>
        </w:rPr>
        <w:t>“（四）主要人员资历表”</w:t>
      </w:r>
      <w:r>
        <w:rPr>
          <w:rFonts w:hint="eastAsia"/>
          <w:color w:val="auto"/>
          <w:highlight w:val="none"/>
        </w:rPr>
        <w:t>后附：拟委任的主要人员身份</w:t>
      </w:r>
      <w:r>
        <w:rPr>
          <w:rFonts w:hint="eastAsia"/>
          <w:color w:val="auto"/>
          <w:kern w:val="0"/>
          <w:highlight w:val="none"/>
        </w:rPr>
        <w:t>证（第二代身份证须正反面复印件）、职称证书复印件；工程造价分项负责人还需提供相应的执业证书复印件，且资格证书中聘用企业名称与投标人名称一致</w:t>
      </w:r>
      <w:r>
        <w:rPr>
          <w:color w:val="auto"/>
          <w:kern w:val="0"/>
          <w:highlight w:val="none"/>
        </w:rPr>
        <w:t xml:space="preserve">, </w:t>
      </w:r>
      <w:r>
        <w:rPr>
          <w:rFonts w:hint="eastAsia"/>
          <w:color w:val="auto"/>
          <w:kern w:val="0"/>
          <w:highlight w:val="none"/>
        </w:rPr>
        <w:t>如资格证书中未体现聘用企业名称或不一致的，应提供全国建筑市场监管公共服务平台或交通运输部的全国公路工程造价人员管理平台查询网页截图。</w:t>
      </w:r>
    </w:p>
    <w:p>
      <w:pPr>
        <w:pStyle w:val="3"/>
        <w:spacing w:after="0" w:line="360" w:lineRule="exact"/>
        <w:ind w:left="0" w:leftChars="0"/>
        <w:rPr>
          <w:rFonts w:cs="Times New Roman"/>
          <w:color w:val="auto"/>
          <w:highlight w:val="none"/>
        </w:rPr>
      </w:pPr>
      <w:r>
        <w:rPr>
          <w:color w:val="auto"/>
          <w:highlight w:val="none"/>
        </w:rPr>
        <w:t>3</w:t>
      </w:r>
      <w:r>
        <w:rPr>
          <w:rFonts w:hint="eastAsia"/>
          <w:color w:val="auto"/>
          <w:highlight w:val="none"/>
        </w:rPr>
        <w:t>、所有证件资料均应采用清晰的扫描件或复印件。</w:t>
      </w:r>
    </w:p>
    <w:p>
      <w:pPr>
        <w:pStyle w:val="3"/>
        <w:spacing w:after="0" w:line="276" w:lineRule="auto"/>
        <w:ind w:left="0" w:leftChars="0"/>
        <w:rPr>
          <w:rFonts w:cs="Times New Roman"/>
          <w:color w:val="auto"/>
          <w:highlight w:val="none"/>
        </w:rPr>
      </w:pPr>
      <w:r>
        <w:rPr>
          <w:color w:val="auto"/>
          <w:highlight w:val="none"/>
        </w:rPr>
        <w:t>4</w:t>
      </w:r>
      <w:r>
        <w:rPr>
          <w:rFonts w:hint="eastAsia"/>
          <w:color w:val="auto"/>
          <w:highlight w:val="none"/>
        </w:rPr>
        <w:t>、行贿犯罪档案查询结果以中国裁判文书网的查询结果为准（时间以法院判决书出具的时间为准，投标人无须提供，由招标人在公示期间对公示的推荐中标候选人和拟委任项目负责人通过中国裁判文书网进行行贿犯罪档案查询）。</w:t>
      </w:r>
    </w:p>
    <w:p>
      <w:pPr>
        <w:pStyle w:val="3"/>
        <w:spacing w:after="0" w:line="360" w:lineRule="exact"/>
        <w:ind w:left="0" w:leftChars="0"/>
        <w:rPr>
          <w:rFonts w:cs="Times New Roman"/>
          <w:color w:val="auto"/>
          <w:highlight w:val="none"/>
        </w:rPr>
      </w:pPr>
    </w:p>
    <w:p>
      <w:pPr>
        <w:jc w:val="center"/>
        <w:rPr>
          <w:rFonts w:hint="eastAsia"/>
          <w:color w:val="auto"/>
          <w:sz w:val="28"/>
          <w:szCs w:val="28"/>
          <w:highlight w:val="none"/>
        </w:rPr>
      </w:pPr>
      <w:r>
        <w:rPr>
          <w:rFonts w:cs="Times New Roman"/>
          <w:color w:val="auto"/>
          <w:highlight w:val="none"/>
        </w:rPr>
        <w:br w:type="page"/>
      </w:r>
      <w:bookmarkStart w:id="47" w:name="_Toc93952197"/>
      <w:r>
        <w:rPr>
          <w:rFonts w:hint="eastAsia"/>
          <w:color w:val="auto"/>
          <w:sz w:val="28"/>
          <w:szCs w:val="28"/>
          <w:highlight w:val="none"/>
        </w:rPr>
        <w:t>附录4  资格审查条件（信誉最低要求）</w:t>
      </w:r>
      <w:bookmarkEnd w:id="40"/>
      <w:bookmarkEnd w:id="41"/>
      <w:bookmarkEnd w:id="42"/>
      <w:bookmarkEnd w:id="43"/>
      <w:bookmarkEnd w:id="44"/>
      <w:bookmarkEnd w:id="45"/>
      <w:bookmarkEnd w:id="46"/>
      <w:bookmarkEnd w:id="47"/>
    </w:p>
    <w:p>
      <w:pPr>
        <w:spacing w:line="400" w:lineRule="exact"/>
        <w:jc w:val="center"/>
        <w:rPr>
          <w:rFonts w:cs="Times New Roman"/>
          <w:b/>
          <w:bCs/>
          <w:color w:val="auto"/>
          <w:sz w:val="28"/>
          <w:szCs w:val="28"/>
          <w:highlight w:val="none"/>
        </w:rPr>
      </w:pPr>
    </w:p>
    <w:tbl>
      <w:tblPr>
        <w:tblStyle w:val="8"/>
        <w:tblW w:w="9288"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628" w:type="dxa"/>
            <w:tcBorders>
              <w:top w:val="single" w:color="auto" w:sz="12" w:space="0"/>
            </w:tcBorders>
            <w:noWrap w:val="0"/>
            <w:vAlign w:val="center"/>
          </w:tcPr>
          <w:p>
            <w:pPr>
              <w:jc w:val="center"/>
              <w:rPr>
                <w:rFonts w:cs="Times New Roman"/>
                <w:b/>
                <w:bCs/>
                <w:color w:val="auto"/>
                <w:highlight w:val="none"/>
              </w:rPr>
            </w:pPr>
            <w:r>
              <w:rPr>
                <w:rFonts w:hint="eastAsia"/>
                <w:b/>
                <w:bCs/>
                <w:color w:val="auto"/>
                <w:highlight w:val="none"/>
              </w:rPr>
              <w:t>标段</w:t>
            </w:r>
          </w:p>
        </w:tc>
        <w:tc>
          <w:tcPr>
            <w:tcW w:w="6660" w:type="dxa"/>
            <w:tcBorders>
              <w:top w:val="single" w:color="auto" w:sz="12" w:space="0"/>
            </w:tcBorders>
            <w:noWrap w:val="0"/>
            <w:vAlign w:val="center"/>
          </w:tcPr>
          <w:p>
            <w:pPr>
              <w:jc w:val="center"/>
              <w:rPr>
                <w:rFonts w:cs="Times New Roman"/>
                <w:b/>
                <w:bCs/>
                <w:color w:val="auto"/>
                <w:highlight w:val="none"/>
              </w:rPr>
            </w:pPr>
            <w:r>
              <w:rPr>
                <w:rFonts w:hint="eastAsia"/>
                <w:b/>
                <w:bCs/>
                <w:color w:val="auto"/>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2628" w:type="dxa"/>
            <w:tcBorders>
              <w:bottom w:val="single" w:color="auto" w:sz="12" w:space="0"/>
            </w:tcBorders>
            <w:noWrap w:val="0"/>
            <w:vAlign w:val="center"/>
          </w:tcPr>
          <w:p>
            <w:pPr>
              <w:spacing w:line="400" w:lineRule="exact"/>
              <w:jc w:val="center"/>
              <w:rPr>
                <w:rFonts w:hAnsi="Times New Roman" w:cs="Times New Roman"/>
                <w:color w:val="auto"/>
                <w:kern w:val="0"/>
                <w:highlight w:val="none"/>
              </w:rPr>
            </w:pPr>
            <w:r>
              <w:rPr>
                <w:color w:val="auto"/>
                <w:highlight w:val="none"/>
              </w:rPr>
              <w:t>/</w:t>
            </w:r>
          </w:p>
        </w:tc>
        <w:tc>
          <w:tcPr>
            <w:tcW w:w="6660" w:type="dxa"/>
            <w:tcBorders>
              <w:bottom w:val="single" w:color="auto" w:sz="12" w:space="0"/>
            </w:tcBorders>
            <w:noWrap w:val="0"/>
            <w:vAlign w:val="center"/>
          </w:tcPr>
          <w:p>
            <w:pPr>
              <w:spacing w:line="400" w:lineRule="exact"/>
              <w:rPr>
                <w:rFonts w:cs="Times New Roman"/>
                <w:color w:val="auto"/>
                <w:kern w:val="0"/>
                <w:highlight w:val="none"/>
              </w:rPr>
            </w:pPr>
            <w:r>
              <w:rPr>
                <w:color w:val="auto"/>
                <w:kern w:val="0"/>
                <w:highlight w:val="none"/>
              </w:rPr>
              <w:t>1</w:t>
            </w:r>
            <w:r>
              <w:rPr>
                <w:rFonts w:hint="eastAsia"/>
                <w:color w:val="auto"/>
                <w:kern w:val="0"/>
                <w:highlight w:val="none"/>
              </w:rPr>
              <w:t>、不存在“投标人须知”第</w:t>
            </w:r>
            <w:r>
              <w:rPr>
                <w:color w:val="auto"/>
                <w:kern w:val="0"/>
                <w:highlight w:val="none"/>
              </w:rPr>
              <w:t>1.4.3</w:t>
            </w:r>
            <w:r>
              <w:rPr>
                <w:rFonts w:hint="eastAsia"/>
                <w:color w:val="auto"/>
                <w:kern w:val="0"/>
                <w:highlight w:val="none"/>
              </w:rPr>
              <w:t>项的情形；</w:t>
            </w:r>
          </w:p>
          <w:p>
            <w:pPr>
              <w:spacing w:line="400" w:lineRule="exact"/>
              <w:rPr>
                <w:rFonts w:cs="Times New Roman"/>
                <w:color w:val="auto"/>
                <w:kern w:val="0"/>
                <w:highlight w:val="none"/>
              </w:rPr>
            </w:pPr>
            <w:r>
              <w:rPr>
                <w:color w:val="auto"/>
                <w:kern w:val="0"/>
                <w:highlight w:val="none"/>
              </w:rPr>
              <w:t>2</w:t>
            </w:r>
            <w:r>
              <w:rPr>
                <w:rFonts w:hint="eastAsia"/>
                <w:color w:val="auto"/>
                <w:kern w:val="0"/>
                <w:highlight w:val="none"/>
              </w:rPr>
              <w:t>、自</w:t>
            </w:r>
            <w:r>
              <w:rPr>
                <w:color w:val="auto"/>
                <w:kern w:val="0"/>
                <w:highlight w:val="none"/>
              </w:rPr>
              <w:t>2019</w:t>
            </w:r>
            <w:r>
              <w:rPr>
                <w:rFonts w:hint="eastAsia"/>
                <w:color w:val="auto"/>
                <w:kern w:val="0"/>
                <w:highlight w:val="none"/>
              </w:rPr>
              <w:t>年7月</w:t>
            </w:r>
            <w:r>
              <w:rPr>
                <w:color w:val="auto"/>
                <w:kern w:val="0"/>
                <w:highlight w:val="none"/>
              </w:rPr>
              <w:t>1</w:t>
            </w:r>
            <w:r>
              <w:rPr>
                <w:rFonts w:hint="eastAsia"/>
                <w:color w:val="auto"/>
                <w:kern w:val="0"/>
                <w:highlight w:val="none"/>
              </w:rPr>
              <w:t>日以来，投标人无行贿犯罪行为；</w:t>
            </w:r>
          </w:p>
        </w:tc>
      </w:tr>
    </w:tbl>
    <w:p>
      <w:pPr>
        <w:spacing w:line="400" w:lineRule="exact"/>
        <w:rPr>
          <w:rFonts w:cs="Times New Roman"/>
          <w:color w:val="auto"/>
          <w:highlight w:val="none"/>
        </w:rPr>
      </w:pPr>
      <w:r>
        <w:rPr>
          <w:rFonts w:hint="eastAsia"/>
          <w:color w:val="auto"/>
          <w:kern w:val="0"/>
          <w:highlight w:val="none"/>
        </w:rPr>
        <w:t>注：投标人有行贿犯罪行为的认定：以</w:t>
      </w:r>
      <w:r>
        <w:rPr>
          <w:rFonts w:hint="eastAsia"/>
          <w:color w:val="auto"/>
          <w:highlight w:val="none"/>
        </w:rPr>
        <w:t>中国裁判文书网的查询结果为准（时间以法院判决书出具的时间为准，投标人无须提供，由招标人在公示期间对公示的推荐中标候选人通过中国裁判文书网进行行贿犯罪档案查询）。</w:t>
      </w:r>
    </w:p>
    <w:p>
      <w:pPr>
        <w:pStyle w:val="7"/>
        <w:keepNext w:val="0"/>
        <w:keepLines w:val="0"/>
        <w:pageBreakBefore w:val="0"/>
        <w:kinsoku/>
        <w:wordWrap/>
        <w:overflowPunct/>
        <w:topLinePunct w:val="0"/>
        <w:bidi w:val="0"/>
        <w:snapToGrid/>
        <w:spacing w:line="440" w:lineRule="exact"/>
        <w:jc w:val="right"/>
        <w:textAlignment w:val="auto"/>
        <w:rPr>
          <w:rFonts w:hint="eastAsia" w:ascii="宋体" w:hAnsi="宋体" w:eastAsia="宋体" w:cs="宋体"/>
          <w:color w:val="auto"/>
          <w:highlight w:val="none"/>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TQxOWNjMGIzNDNmYzNiNGZmNzQxOGM5ODBhOTYifQ=="/>
  </w:docVars>
  <w:rsids>
    <w:rsidRoot w:val="008B2BF6"/>
    <w:rsid w:val="00164F33"/>
    <w:rsid w:val="004A4E17"/>
    <w:rsid w:val="00755FA0"/>
    <w:rsid w:val="00821E82"/>
    <w:rsid w:val="008B2BF6"/>
    <w:rsid w:val="00A73AE1"/>
    <w:rsid w:val="00A905FF"/>
    <w:rsid w:val="00EC59C4"/>
    <w:rsid w:val="03EC070B"/>
    <w:rsid w:val="16B21C54"/>
    <w:rsid w:val="17CA6179"/>
    <w:rsid w:val="2A111E36"/>
    <w:rsid w:val="2A4F254D"/>
    <w:rsid w:val="340D59DC"/>
    <w:rsid w:val="35617684"/>
    <w:rsid w:val="4DC97768"/>
    <w:rsid w:val="5386104D"/>
    <w:rsid w:val="79C7183B"/>
    <w:rsid w:val="7B5B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qFormat/>
    <w:uiPriority w:val="99"/>
    <w:pPr>
      <w:ind w:left="200" w:firstLine="20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unhideWhenUsed/>
    <w:qFormat/>
    <w:uiPriority w:val="0"/>
    <w:pPr>
      <w:snapToGrid w:val="0"/>
    </w:pPr>
    <w:rPr>
      <w:rFonts w:ascii="Arial" w:hAnsi="Arial"/>
    </w:rPr>
  </w:style>
  <w:style w:type="paragraph" w:styleId="5">
    <w:name w:val="Normal Indent"/>
    <w:basedOn w:val="1"/>
    <w:next w:val="3"/>
    <w:semiHidden/>
    <w:qFormat/>
    <w:uiPriority w:val="99"/>
    <w:pPr>
      <w:widowControl/>
      <w:ind w:firstLine="420"/>
      <w:jc w:val="left"/>
    </w:pPr>
    <w:rPr>
      <w:rFonts w:eastAsia="楷体_GB2312"/>
      <w:kern w:val="0"/>
      <w:sz w:val="28"/>
      <w:szCs w:val="28"/>
    </w:rPr>
  </w:style>
  <w:style w:type="paragraph" w:styleId="6">
    <w:name w:val="Body Text"/>
    <w:basedOn w:val="1"/>
    <w:semiHidden/>
    <w:qFormat/>
    <w:uiPriority w:val="99"/>
    <w:pPr>
      <w:spacing w:after="120"/>
    </w:pPr>
    <w:rPr>
      <w:color w:val="000000"/>
      <w:sz w:val="18"/>
      <w:szCs w:val="18"/>
    </w:rPr>
  </w:style>
  <w:style w:type="paragraph" w:styleId="7">
    <w:name w:val="Normal (Web)"/>
    <w:basedOn w:val="1"/>
    <w:qFormat/>
    <w:uiPriority w:val="99"/>
    <w:pPr>
      <w:widowControl/>
      <w:jc w:val="left"/>
    </w:pPr>
    <w:rPr>
      <w:kern w:val="0"/>
      <w:sz w:val="24"/>
      <w:szCs w:val="24"/>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正文_0"/>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4187</Words>
  <Characters>4790</Characters>
  <Lines>18</Lines>
  <Paragraphs>5</Paragraphs>
  <TotalTime>1</TotalTime>
  <ScaleCrop>false</ScaleCrop>
  <LinksUpToDate>false</LinksUpToDate>
  <CharactersWithSpaces>5021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2022-01-26T02:36:00Z</dcterms:created>
  <dc:creator>未知</dc:creator>
  <cp:lastModifiedBy>pc</cp:lastModifiedBy>
  <dcterms:modified xsi:type="dcterms:W3CDTF">2022-08-24T09:20:11Z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F78F8DB2A12F479D801C8A27F40C1AB0</vt:lpwstr>
  </property>
</Properties>
</file>